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69245A70" w:rsidR="004D238B" w:rsidRDefault="004D238B" w:rsidP="00FB5065">
      <w:pPr>
        <w:pStyle w:val="CRCoverPage"/>
        <w:tabs>
          <w:tab w:val="right" w:pos="9360"/>
        </w:tabs>
        <w:outlineLvl w:val="0"/>
        <w:rPr>
          <w:b/>
          <w:i/>
          <w:noProof/>
          <w:sz w:val="28"/>
        </w:rPr>
      </w:pPr>
      <w:r>
        <w:rPr>
          <w:b/>
          <w:noProof/>
          <w:sz w:val="24"/>
        </w:rPr>
        <w:t>3GPP TSG-RAN WG2 Meeting #10</w:t>
      </w:r>
      <w:r w:rsidR="00D727D2">
        <w:rPr>
          <w:b/>
          <w:noProof/>
          <w:sz w:val="24"/>
        </w:rPr>
        <w:t>1</w:t>
      </w:r>
      <w:r w:rsidR="00D629CC">
        <w:rPr>
          <w:b/>
          <w:noProof/>
          <w:sz w:val="24"/>
        </w:rPr>
        <w:t>bis</w:t>
      </w:r>
      <w:r>
        <w:rPr>
          <w:b/>
          <w:i/>
          <w:noProof/>
          <w:sz w:val="24"/>
        </w:rPr>
        <w:t xml:space="preserve"> </w:t>
      </w:r>
      <w:r>
        <w:rPr>
          <w:b/>
          <w:i/>
          <w:noProof/>
          <w:sz w:val="28"/>
        </w:rPr>
        <w:tab/>
      </w:r>
      <w:r w:rsidR="00FB5065">
        <w:rPr>
          <w:b/>
          <w:noProof/>
          <w:sz w:val="28"/>
        </w:rPr>
        <w:t>R2-</w:t>
      </w:r>
      <w:r w:rsidR="009E3340">
        <w:rPr>
          <w:b/>
          <w:noProof/>
          <w:sz w:val="28"/>
        </w:rPr>
        <w:t>1</w:t>
      </w:r>
      <w:r w:rsidR="00FB5065" w:rsidRPr="00FB5065">
        <w:rPr>
          <w:b/>
          <w:noProof/>
          <w:sz w:val="28"/>
        </w:rPr>
        <w:t>80</w:t>
      </w:r>
      <w:r w:rsidR="00907146">
        <w:rPr>
          <w:b/>
          <w:noProof/>
          <w:sz w:val="28"/>
        </w:rPr>
        <w:t>6001</w:t>
      </w:r>
    </w:p>
    <w:p w14:paraId="2DA62C86" w14:textId="30274258" w:rsidR="004D238B" w:rsidRPr="001C5A9C" w:rsidRDefault="00D629CC" w:rsidP="004D238B">
      <w:pPr>
        <w:pStyle w:val="CRCoverPage"/>
        <w:tabs>
          <w:tab w:val="right" w:pos="9360"/>
        </w:tabs>
        <w:outlineLvl w:val="0"/>
        <w:rPr>
          <w:b/>
          <w:bCs/>
          <w:i/>
          <w:sz w:val="24"/>
          <w:szCs w:val="24"/>
        </w:rPr>
      </w:pPr>
      <w:r>
        <w:rPr>
          <w:b/>
          <w:noProof/>
          <w:sz w:val="24"/>
        </w:rPr>
        <w:t>Sanya, China</w:t>
      </w:r>
      <w:r w:rsidR="00D727D2">
        <w:rPr>
          <w:b/>
          <w:noProof/>
          <w:sz w:val="24"/>
        </w:rPr>
        <w:t xml:space="preserve">, </w:t>
      </w:r>
      <w:r>
        <w:rPr>
          <w:b/>
          <w:noProof/>
          <w:sz w:val="24"/>
        </w:rPr>
        <w:t>Apr</w:t>
      </w:r>
      <w:r w:rsidR="00D727D2">
        <w:rPr>
          <w:b/>
          <w:noProof/>
          <w:sz w:val="24"/>
        </w:rPr>
        <w:t xml:space="preserve"> </w:t>
      </w:r>
      <w:r>
        <w:rPr>
          <w:b/>
          <w:noProof/>
          <w:sz w:val="24"/>
        </w:rPr>
        <w:t>1</w:t>
      </w:r>
      <w:r w:rsidR="00D727D2">
        <w:rPr>
          <w:b/>
          <w:noProof/>
          <w:sz w:val="24"/>
        </w:rPr>
        <w:t>6 – 2</w:t>
      </w:r>
      <w:r>
        <w:rPr>
          <w:b/>
          <w:noProof/>
          <w:sz w:val="24"/>
        </w:rPr>
        <w:t>0</w:t>
      </w:r>
      <w:r w:rsidR="00D727D2">
        <w:rPr>
          <w:b/>
          <w:noProof/>
          <w:sz w:val="24"/>
        </w:rPr>
        <w:t>, 2018</w:t>
      </w:r>
      <w:r w:rsidR="004D238B">
        <w:rPr>
          <w:b/>
          <w:bCs/>
          <w:sz w:val="24"/>
          <w:szCs w:val="24"/>
        </w:rPr>
        <w:tab/>
      </w:r>
    </w:p>
    <w:p w14:paraId="5B06E187" w14:textId="77777777" w:rsidR="004D238B" w:rsidRDefault="004D238B" w:rsidP="004D238B">
      <w:pPr>
        <w:tabs>
          <w:tab w:val="right" w:pos="10000"/>
        </w:tabs>
        <w:spacing w:after="0"/>
        <w:jc w:val="both"/>
        <w:rPr>
          <w:rFonts w:ascii="Arial" w:hAnsi="Arial" w:cs="Arial"/>
          <w:b/>
          <w:sz w:val="24"/>
          <w:szCs w:val="24"/>
          <w:lang w:val="en-US"/>
        </w:rPr>
      </w:pPr>
    </w:p>
    <w:p w14:paraId="3206D182" w14:textId="41BA7342" w:rsidR="004D238B" w:rsidRPr="005D0F9B" w:rsidRDefault="004D238B" w:rsidP="004D238B">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r w:rsidR="002B58C5">
        <w:rPr>
          <w:rFonts w:ascii="Arial" w:hAnsi="Arial"/>
          <w:sz w:val="24"/>
          <w:lang w:val="en-US"/>
        </w:rPr>
        <w:t>9.</w:t>
      </w:r>
      <w:r w:rsidR="00522106">
        <w:rPr>
          <w:rFonts w:ascii="Arial" w:hAnsi="Arial"/>
          <w:sz w:val="24"/>
          <w:lang w:val="en-US"/>
        </w:rPr>
        <w:t>15.3</w:t>
      </w:r>
    </w:p>
    <w:p w14:paraId="4AA03D6B" w14:textId="77777777" w:rsidR="004D238B" w:rsidRPr="005D0F9B" w:rsidRDefault="004D238B" w:rsidP="004D238B">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52F6778C" w14:textId="0D68E612" w:rsidR="00317899" w:rsidRPr="005D0F9B" w:rsidRDefault="00317899" w:rsidP="004D238B">
      <w:pPr>
        <w:tabs>
          <w:tab w:val="left" w:pos="1985"/>
        </w:tabs>
        <w:jc w:val="both"/>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952C32" w:rsidRPr="00952C32">
        <w:rPr>
          <w:rFonts w:ascii="Arial" w:hAnsi="Arial"/>
          <w:sz w:val="22"/>
          <w:lang w:val="en-US"/>
        </w:rPr>
        <w:t>PCFICH Enhancements for URLLC</w:t>
      </w:r>
    </w:p>
    <w:p w14:paraId="545521D5" w14:textId="77777777"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0" w:name="DocumentFor"/>
      <w:bookmarkEnd w:id="0"/>
      <w:r>
        <w:rPr>
          <w:rFonts w:ascii="Arial" w:hAnsi="Arial"/>
          <w:sz w:val="24"/>
          <w:lang w:val="en-US"/>
        </w:rPr>
        <w:t>Discussion/Decision</w:t>
      </w:r>
    </w:p>
    <w:p w14:paraId="60FFB867" w14:textId="77777777" w:rsidR="00E52A1C" w:rsidRPr="00E21680" w:rsidRDefault="00E52A1C" w:rsidP="00317899">
      <w:pPr>
        <w:jc w:val="both"/>
      </w:pPr>
    </w:p>
    <w:p w14:paraId="4D5220F5" w14:textId="77777777" w:rsidR="00410201" w:rsidRDefault="00317899" w:rsidP="002119DA">
      <w:pPr>
        <w:pStyle w:val="Heading1"/>
      </w:pPr>
      <w:bookmarkStart w:id="1" w:name="_Ref492503575"/>
      <w:r>
        <w:t>Introduction</w:t>
      </w:r>
      <w:bookmarkEnd w:id="1"/>
    </w:p>
    <w:p w14:paraId="61D910FA" w14:textId="0A94EA54" w:rsidR="00571EFE" w:rsidRDefault="007772FE" w:rsidP="00ED4A2B">
      <w:pPr>
        <w:jc w:val="both"/>
      </w:pPr>
      <w:r>
        <w:t>T</w:t>
      </w:r>
      <w:r w:rsidR="00522106">
        <w:t xml:space="preserve">he work item </w:t>
      </w:r>
      <w:r>
        <w:t>description for URLLC</w:t>
      </w:r>
      <w:r w:rsidR="0074520D">
        <w:t>/HRLLC in LTE</w:t>
      </w:r>
      <w:bookmarkStart w:id="2" w:name="_GoBack"/>
      <w:bookmarkEnd w:id="2"/>
      <w:r>
        <w:t xml:space="preserve"> is provided</w:t>
      </w:r>
      <w:r w:rsidR="00522106">
        <w:t xml:space="preserve"> in RP-172845 </w:t>
      </w:r>
      <w:r w:rsidR="0012607A">
        <w:t>[1]</w:t>
      </w:r>
      <w:r>
        <w:t>.</w:t>
      </w:r>
      <w:r w:rsidR="0012607A">
        <w:t xml:space="preserve"> Further</w:t>
      </w:r>
      <w:r w:rsidR="00D650D9">
        <w:t>, i</w:t>
      </w:r>
      <w:r w:rsidR="00571EFE">
        <w:t>n RAN#79, following prioritization was endorsed in RP-180586</w:t>
      </w:r>
      <w:r w:rsidR="0012607A">
        <w:t xml:space="preserve"> [2]</w:t>
      </w:r>
      <w:r>
        <w:t xml:space="preserve"> where RAN2 is tasked to introduce CFI indication via a higher layer </w:t>
      </w:r>
      <w:r w:rsidR="00203904">
        <w:t>signalling</w:t>
      </w:r>
      <w:r>
        <w:t>:</w:t>
      </w:r>
    </w:p>
    <w:tbl>
      <w:tblPr>
        <w:tblStyle w:val="TableGrid"/>
        <w:tblW w:w="0" w:type="auto"/>
        <w:tblLook w:val="04A0" w:firstRow="1" w:lastRow="0" w:firstColumn="1" w:lastColumn="0" w:noHBand="0" w:noVBand="1"/>
      </w:tblPr>
      <w:tblGrid>
        <w:gridCol w:w="9350"/>
      </w:tblGrid>
      <w:tr w:rsidR="00571EFE" w14:paraId="01FEB4B2" w14:textId="77777777" w:rsidTr="00571EFE">
        <w:tc>
          <w:tcPr>
            <w:tcW w:w="9350" w:type="dxa"/>
          </w:tcPr>
          <w:p w14:paraId="14BB7EF4" w14:textId="77777777" w:rsidR="00975353" w:rsidRPr="00571EFE" w:rsidRDefault="005C4EFF" w:rsidP="00571EFE">
            <w:pPr>
              <w:numPr>
                <w:ilvl w:val="0"/>
                <w:numId w:val="16"/>
              </w:numPr>
              <w:spacing w:after="0" w:line="276" w:lineRule="auto"/>
              <w:jc w:val="both"/>
              <w:rPr>
                <w:lang w:val="en-US"/>
              </w:rPr>
            </w:pPr>
            <w:r w:rsidRPr="00571EFE">
              <w:rPr>
                <w:lang w:val="en-US"/>
              </w:rPr>
              <w:t>To support enhanced reliability focusing on 1ms latency bound in Rel-15, only the following are to be specified by June:</w:t>
            </w:r>
          </w:p>
          <w:p w14:paraId="780203F8" w14:textId="77777777" w:rsidR="00975353" w:rsidRPr="007772FE" w:rsidRDefault="005C4EFF" w:rsidP="00571EFE">
            <w:pPr>
              <w:numPr>
                <w:ilvl w:val="1"/>
                <w:numId w:val="16"/>
              </w:numPr>
              <w:spacing w:after="0" w:line="276" w:lineRule="auto"/>
              <w:jc w:val="both"/>
              <w:rPr>
                <w:highlight w:val="yellow"/>
                <w:lang w:val="en-US"/>
              </w:rPr>
            </w:pPr>
            <w:r w:rsidRPr="007772FE">
              <w:rPr>
                <w:highlight w:val="yellow"/>
                <w:lang w:val="en-US"/>
              </w:rPr>
              <w:t>PCFICH reliability: Semi-static configuration of PCFICH duration to avoid PCFICH reliability impacting the overall DL reliability (RAN2 led)</w:t>
            </w:r>
          </w:p>
          <w:p w14:paraId="63605737" w14:textId="039C2214" w:rsidR="00571EFE" w:rsidRPr="00571EFE" w:rsidRDefault="007772FE" w:rsidP="00571EFE">
            <w:pPr>
              <w:numPr>
                <w:ilvl w:val="1"/>
                <w:numId w:val="16"/>
              </w:numPr>
              <w:spacing w:after="0" w:line="276" w:lineRule="auto"/>
              <w:jc w:val="both"/>
              <w:rPr>
                <w:lang w:val="en-US"/>
              </w:rPr>
            </w:pPr>
            <w:r>
              <w:rPr>
                <w:lang w:val="en-US"/>
              </w:rPr>
              <w:t>&lt;&lt;skip&gt;&gt;</w:t>
            </w:r>
          </w:p>
        </w:tc>
      </w:tr>
    </w:tbl>
    <w:p w14:paraId="4BB7DE3B" w14:textId="77777777" w:rsidR="00571EFE" w:rsidRDefault="00571EFE" w:rsidP="00ED4A2B">
      <w:pPr>
        <w:jc w:val="both"/>
      </w:pPr>
    </w:p>
    <w:p w14:paraId="78A92F53" w14:textId="1742E5F5" w:rsidR="00163924" w:rsidRDefault="005B5005" w:rsidP="00ED4A2B">
      <w:pPr>
        <w:jc w:val="both"/>
      </w:pPr>
      <w:r>
        <w:t>I</w:t>
      </w:r>
      <w:r w:rsidR="002C731F">
        <w:t>n th</w:t>
      </w:r>
      <w:r w:rsidR="00391F2F">
        <w:t xml:space="preserve">is contribution, we </w:t>
      </w:r>
      <w:r w:rsidR="00203904">
        <w:t>discuss the background and propose some high-level general principle for PCFICH reliability enhancement based on the above objective</w:t>
      </w:r>
      <w:r w:rsidR="00CE2001">
        <w:t>.</w:t>
      </w:r>
    </w:p>
    <w:p w14:paraId="3A00A0F1" w14:textId="2605F0E6" w:rsidR="00CE2001" w:rsidRDefault="003747A5" w:rsidP="006640A2">
      <w:pPr>
        <w:pStyle w:val="Heading1"/>
      </w:pPr>
      <w:r>
        <w:t xml:space="preserve">PCFICH and </w:t>
      </w:r>
      <w:r w:rsidR="006640A2" w:rsidRPr="006640A2">
        <w:t>CFI Indication</w:t>
      </w:r>
    </w:p>
    <w:p w14:paraId="15185330" w14:textId="0D8314B8" w:rsidR="003747A5" w:rsidRPr="003747A5" w:rsidRDefault="003747A5" w:rsidP="003747A5">
      <w:pPr>
        <w:pStyle w:val="Heading2"/>
      </w:pPr>
      <w:r>
        <w:t>Background</w:t>
      </w:r>
    </w:p>
    <w:p w14:paraId="3C5E6F76" w14:textId="77777777" w:rsidR="00B45C2D" w:rsidRDefault="006B0F12" w:rsidP="006640A2">
      <w:pPr>
        <w:jc w:val="both"/>
      </w:pPr>
      <w:r>
        <w:t>CFI (control format indicator) indicates</w:t>
      </w:r>
      <w:r w:rsidRPr="006B0F12">
        <w:t xml:space="preserve"> how many OFDM symbols are used for carrying control channel (e.g</w:t>
      </w:r>
      <w:r>
        <w:t>.</w:t>
      </w:r>
      <w:r w:rsidRPr="006B0F12">
        <w:t xml:space="preserve">, PDCCH and PHICH) </w:t>
      </w:r>
      <w:r>
        <w:t>in</w:t>
      </w:r>
      <w:r w:rsidRPr="006B0F12">
        <w:t xml:space="preserve"> each subframe. </w:t>
      </w:r>
      <w:r w:rsidR="008E4129">
        <w:t>E.g., i</w:t>
      </w:r>
      <w:r w:rsidRPr="006B0F12">
        <w:t xml:space="preserve">f CFI is </w:t>
      </w:r>
      <w:r w:rsidR="008E4129">
        <w:t>set to</w:t>
      </w:r>
      <w:r w:rsidRPr="006B0F12">
        <w:t xml:space="preserve"> be </w:t>
      </w:r>
      <w:r w:rsidR="00F95669">
        <w:t>2</w:t>
      </w:r>
      <w:r w:rsidRPr="006B0F12">
        <w:t xml:space="preserve"> for a subframe, it means </w:t>
      </w:r>
      <w:r w:rsidR="00F95669">
        <w:t>two</w:t>
      </w:r>
      <w:r w:rsidRPr="006B0F12">
        <w:t xml:space="preserve"> symbol</w:t>
      </w:r>
      <w:r w:rsidR="00F95669">
        <w:t>s</w:t>
      </w:r>
      <w:r w:rsidRPr="006B0F12">
        <w:t xml:space="preserve"> (the first </w:t>
      </w:r>
      <w:r w:rsidR="00F95669">
        <w:t xml:space="preserve">and second </w:t>
      </w:r>
      <w:r w:rsidRPr="006B0F12">
        <w:t>symbol</w:t>
      </w:r>
      <w:r w:rsidR="00F95669">
        <w:t>s</w:t>
      </w:r>
      <w:r w:rsidRPr="006B0F12">
        <w:t xml:space="preserve">) </w:t>
      </w:r>
      <w:r w:rsidR="00F95669">
        <w:t>of</w:t>
      </w:r>
      <w:r w:rsidRPr="006B0F12">
        <w:t xml:space="preserve"> the subframe is used for </w:t>
      </w:r>
      <w:r w:rsidR="008E4129">
        <w:t>control channel</w:t>
      </w:r>
      <w:r w:rsidRPr="006B0F12">
        <w:t>.</w:t>
      </w:r>
      <w:r w:rsidR="003747A5">
        <w:t xml:space="preserve"> </w:t>
      </w:r>
      <w:r w:rsidR="003747A5" w:rsidRPr="003747A5">
        <w:t>PCFICH is the Physical Channel that carries CFI</w:t>
      </w:r>
      <w:r w:rsidR="003747A5">
        <w:t>.</w:t>
      </w:r>
      <w:r>
        <w:t xml:space="preserve"> </w:t>
      </w:r>
    </w:p>
    <w:p w14:paraId="73187191" w14:textId="660A835D" w:rsidR="00F95669" w:rsidRDefault="00F95669" w:rsidP="006640A2">
      <w:pPr>
        <w:jc w:val="both"/>
      </w:pPr>
      <w:r>
        <w:t>The sTTI subframes layout is depicted below for different CFI values.</w:t>
      </w:r>
    </w:p>
    <w:p w14:paraId="7417A08E" w14:textId="77777777" w:rsidR="00F95669" w:rsidRDefault="00F95669" w:rsidP="00F95669">
      <w:pPr>
        <w:keepNext/>
        <w:jc w:val="center"/>
      </w:pPr>
      <w:r w:rsidRPr="00F95669">
        <w:rPr>
          <w:lang w:val="en-US"/>
        </w:rPr>
        <w:object w:dxaOrig="11533" w:dyaOrig="4973" w14:anchorId="02BFA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75pt;height:143.1pt" o:ole="">
            <v:imagedata r:id="rId14" o:title=""/>
          </v:shape>
          <o:OLEObject Type="Embed" ProgID="Visio.Drawing.11" ShapeID="_x0000_i1025" DrawAspect="Content" ObjectID="_1584474382" r:id="rId15"/>
        </w:object>
      </w:r>
    </w:p>
    <w:p w14:paraId="3CB898F9" w14:textId="32711197" w:rsidR="00F95669" w:rsidRDefault="00F95669" w:rsidP="00F9566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CFI and sTTI subframes</w:t>
      </w:r>
    </w:p>
    <w:p w14:paraId="52B3265A" w14:textId="030ED466" w:rsidR="00F95669" w:rsidRDefault="00B45C2D" w:rsidP="00B45C2D">
      <w:pPr>
        <w:pStyle w:val="Heading2"/>
      </w:pPr>
      <w:r>
        <w:t xml:space="preserve">PCFICH for URLLC </w:t>
      </w:r>
    </w:p>
    <w:p w14:paraId="4BB7D48B" w14:textId="0BC9AB09" w:rsidR="00722F04" w:rsidRDefault="00531DF1" w:rsidP="006640A2">
      <w:pPr>
        <w:jc w:val="both"/>
      </w:pPr>
      <w:r w:rsidRPr="00531DF1">
        <w:t xml:space="preserve">A URLLC capable UE may need to support the legacy LTE </w:t>
      </w:r>
      <w:r w:rsidR="006B0F12">
        <w:t xml:space="preserve">(e.g., MBB) </w:t>
      </w:r>
      <w:r w:rsidRPr="00531DF1">
        <w:t xml:space="preserve">as well as </w:t>
      </w:r>
      <w:r>
        <w:t>URLLC/</w:t>
      </w:r>
      <w:r w:rsidRPr="00531DF1">
        <w:t>sTTI operations.</w:t>
      </w:r>
      <w:r>
        <w:t xml:space="preserve"> </w:t>
      </w:r>
    </w:p>
    <w:p w14:paraId="4B1D94C5" w14:textId="783011BA" w:rsidR="00722F04" w:rsidRDefault="00722F04" w:rsidP="00722F04">
      <w:pPr>
        <w:pStyle w:val="Observation"/>
      </w:pPr>
      <w:bookmarkStart w:id="3" w:name="_Toc510726840"/>
      <w:r w:rsidRPr="00531DF1">
        <w:t xml:space="preserve">A URLLC capable UE </w:t>
      </w:r>
      <w:r w:rsidR="006B0F12">
        <w:t>is expected to</w:t>
      </w:r>
      <w:r w:rsidRPr="00531DF1">
        <w:t xml:space="preserve"> support the legacy LTE as well as </w:t>
      </w:r>
      <w:r>
        <w:t>URLLC/</w:t>
      </w:r>
      <w:r w:rsidRPr="00531DF1">
        <w:t>sTTI operations.</w:t>
      </w:r>
      <w:bookmarkEnd w:id="3"/>
      <w:r>
        <w:t xml:space="preserve"> </w:t>
      </w:r>
    </w:p>
    <w:p w14:paraId="3C8D4C61" w14:textId="63F9270A" w:rsidR="006640A2" w:rsidRDefault="006640A2" w:rsidP="006640A2">
      <w:pPr>
        <w:jc w:val="both"/>
      </w:pPr>
      <w:r>
        <w:t xml:space="preserve">When the CFI is indicated via a higher layer </w:t>
      </w:r>
      <w:r w:rsidR="003747A5">
        <w:t>signalling</w:t>
      </w:r>
      <w:r>
        <w:t>, the first question that should be answered is whether the CFI configuration is only applicable to URLLC or all services supported by the UE. In other words, for a UE that supports both regular LTE (e.g. MBB) as well as URLLC types of traffics, should the semi-statically configured CFI be applied to the regular LTE traffic as well?</w:t>
      </w:r>
    </w:p>
    <w:p w14:paraId="13B7F6EA" w14:textId="77777777" w:rsidR="006640A2" w:rsidRDefault="006640A2" w:rsidP="006640A2">
      <w:pPr>
        <w:jc w:val="both"/>
      </w:pPr>
      <w:r>
        <w:t>In general, it is desirable to allow for more flexible CFI indication for the LTE operation. As an example, if the configured CFI indicates 3 symbols as the length of the PDCCH region and this value is applied to all operations while only 1 symbol is sufficient in a given subframe for PDCCH, some symbols that could have been used for the legacy PDSCH are wasted.  Hence, the preferred approach is to only use the configured CFI value for the URLLC operation, while expecting the UE to decode the PCFICH for regular LTE operations.</w:t>
      </w:r>
    </w:p>
    <w:p w14:paraId="13882209" w14:textId="5CD4DD20" w:rsidR="006640A2" w:rsidRDefault="006640A2" w:rsidP="006640A2">
      <w:pPr>
        <w:pStyle w:val="Proposal"/>
      </w:pPr>
      <w:bookmarkStart w:id="4" w:name="_Toc510726855"/>
      <w:r>
        <w:t>The semi-static configuration of PCFICH duration is only applied for URLLC services. For other legacy LTE services, the UE is expected to decode the PCFICH.</w:t>
      </w:r>
      <w:bookmarkEnd w:id="4"/>
    </w:p>
    <w:p w14:paraId="688E817E" w14:textId="0D91AD02" w:rsidR="006640A2" w:rsidRDefault="006640A2" w:rsidP="006640A2">
      <w:pPr>
        <w:jc w:val="both"/>
      </w:pPr>
      <w:r>
        <w:t xml:space="preserve">Another aspect to consider is that the value given by PCFICH should not be larger than the value indicated by a higher layer </w:t>
      </w:r>
      <w:r w:rsidR="003747A5">
        <w:t>signalling</w:t>
      </w:r>
      <w:r>
        <w:t>; otherwise, the UE may wrongly consider the control message as URLLC data. As an example, when the value configured semi-statically by upper layers is 3, the value indicated by PCFICH could either be 1, 2 or 3.</w:t>
      </w:r>
    </w:p>
    <w:p w14:paraId="3E0AB0E4" w14:textId="00CAE064" w:rsidR="006640A2" w:rsidRDefault="006640A2" w:rsidP="006640A2">
      <w:pPr>
        <w:pStyle w:val="Proposal"/>
      </w:pPr>
      <w:bookmarkStart w:id="5" w:name="_Toc510726856"/>
      <w:r>
        <w:t>The value of the CFI indicated dynamically via PCFICH should be smaller than or equal to the value configured semi-statically.</w:t>
      </w:r>
      <w:bookmarkEnd w:id="5"/>
      <w:r>
        <w:t xml:space="preserve"> </w:t>
      </w:r>
    </w:p>
    <w:p w14:paraId="5DB392AD" w14:textId="03B640AA" w:rsidR="0012792F" w:rsidRDefault="0012792F" w:rsidP="0012792F">
      <w:pPr>
        <w:pStyle w:val="Heading1"/>
      </w:pPr>
      <w:r w:rsidRPr="0012792F">
        <w:t>Semi-static configuration of PCFICH duration</w:t>
      </w:r>
    </w:p>
    <w:p w14:paraId="6CC6622A" w14:textId="76244231" w:rsidR="0012792F" w:rsidRDefault="0012792F" w:rsidP="0012792F">
      <w:r>
        <w:t xml:space="preserve">Since a cell </w:t>
      </w:r>
      <w:r w:rsidR="00EB2484">
        <w:t>should</w:t>
      </w:r>
      <w:r>
        <w:t xml:space="preserve"> support multiple UEs </w:t>
      </w:r>
      <w:r w:rsidR="00EB2484">
        <w:t>with</w:t>
      </w:r>
      <w:r>
        <w:t xml:space="preserve"> combination of URLLC and non-URLLC services, it is beneficial to allow semi-static configuration of the PCFICH duration by system information broadcast</w:t>
      </w:r>
      <w:r w:rsidR="00C60D7C">
        <w:t xml:space="preserve"> on a per-cell basis</w:t>
      </w:r>
      <w:r>
        <w:t>.</w:t>
      </w:r>
    </w:p>
    <w:p w14:paraId="11B0CF49" w14:textId="449AAAD0" w:rsidR="0012792F" w:rsidRDefault="00D13A6B" w:rsidP="00C60D7C">
      <w:pPr>
        <w:pStyle w:val="Proposal"/>
      </w:pPr>
      <w:bookmarkStart w:id="6" w:name="_Toc510726857"/>
      <w:r>
        <w:t>Support semi-static configuration of PCFICH</w:t>
      </w:r>
      <w:r w:rsidR="00C60D7C">
        <w:t xml:space="preserve"> duration by</w:t>
      </w:r>
      <w:r>
        <w:t xml:space="preserve"> using SIB.</w:t>
      </w:r>
      <w:bookmarkEnd w:id="6"/>
    </w:p>
    <w:p w14:paraId="3A460663" w14:textId="77777777" w:rsidR="00C60D7C" w:rsidRDefault="00C60D7C" w:rsidP="0012792F">
      <w:r>
        <w:lastRenderedPageBreak/>
        <w:t xml:space="preserve">Additionally, it may be beneficial to configure UE-specific PCFICH duration by dedicated signalling. If a dedicated configuration is present, it should override the broadcasted configuration. </w:t>
      </w:r>
    </w:p>
    <w:p w14:paraId="7BDCB874" w14:textId="4D99D499" w:rsidR="00C60D7C" w:rsidRDefault="00C60D7C" w:rsidP="00C60D7C">
      <w:pPr>
        <w:pStyle w:val="Proposal"/>
      </w:pPr>
      <w:bookmarkStart w:id="7" w:name="_Toc510726858"/>
      <w:r>
        <w:t>Support semi-static configuration of PCFICH duration by dedicated RRC signalling. Dedicated configuration overrides the SIB-based configuration.</w:t>
      </w:r>
      <w:bookmarkEnd w:id="7"/>
    </w:p>
    <w:p w14:paraId="470CD7E5" w14:textId="7C7D4B57" w:rsidR="0012792F" w:rsidRDefault="0012792F" w:rsidP="0012792F">
      <w:r>
        <w:t xml:space="preserve">The semi-static configuration could be dependent on the subframe type. In particular, since the maximum length of the PDCCH region is 2 in MBSFN subframes, while up to 3 symbols can be used in non-MBSFN subframes (for sTTI-based URLLC), the CFI </w:t>
      </w:r>
      <w:r w:rsidR="004A68DC">
        <w:t>should</w:t>
      </w:r>
      <w:r>
        <w:t xml:space="preserve"> be configured separately for MBSFN and non-MBSFN subframes. </w:t>
      </w:r>
    </w:p>
    <w:p w14:paraId="01DB718C" w14:textId="34049DEA" w:rsidR="0012792F" w:rsidRPr="0012792F" w:rsidRDefault="0012792F" w:rsidP="00D07014">
      <w:pPr>
        <w:pStyle w:val="Proposal"/>
      </w:pPr>
      <w:bookmarkStart w:id="8" w:name="_Toc510726859"/>
      <w:r>
        <w:t>Support separate</w:t>
      </w:r>
      <w:r w:rsidR="00D07014">
        <w:t xml:space="preserve"> semi-static</w:t>
      </w:r>
      <w:r>
        <w:t xml:space="preserve"> configuration of </w:t>
      </w:r>
      <w:r w:rsidR="00D07014">
        <w:t>PCFICH duration</w:t>
      </w:r>
      <w:r>
        <w:t xml:space="preserve"> for MBSFN and non-MBSFN subframes.</w:t>
      </w:r>
      <w:bookmarkEnd w:id="8"/>
    </w:p>
    <w:p w14:paraId="36250345" w14:textId="01EB815C" w:rsidR="00E244B7" w:rsidRDefault="00C84422" w:rsidP="00531DF1">
      <w:r>
        <w:t xml:space="preserve">Once RAN2 agrees on the above general </w:t>
      </w:r>
      <w:r w:rsidR="00722F04">
        <w:t>principles</w:t>
      </w:r>
      <w:r>
        <w:t xml:space="preserve">, </w:t>
      </w:r>
      <w:r w:rsidR="00722F04">
        <w:t xml:space="preserve">exact signalling design </w:t>
      </w:r>
      <w:r>
        <w:t xml:space="preserve">can be further discussed. </w:t>
      </w:r>
    </w:p>
    <w:p w14:paraId="1C9CB426" w14:textId="77777777" w:rsidR="00F9749E" w:rsidRPr="002119DA" w:rsidRDefault="00F9749E" w:rsidP="002119DA">
      <w:pPr>
        <w:pStyle w:val="Heading1"/>
      </w:pPr>
      <w:r w:rsidRPr="002119DA">
        <w:t>Conclusion</w:t>
      </w:r>
    </w:p>
    <w:p w14:paraId="4A764676" w14:textId="200DBA14" w:rsidR="00FB4733" w:rsidRDefault="00E8280A" w:rsidP="00DC3BF4">
      <w:pPr>
        <w:jc w:val="both"/>
      </w:pPr>
      <w:r>
        <w:t xml:space="preserve">In this </w:t>
      </w:r>
      <w:r w:rsidR="00F75AD3">
        <w:t>contribution</w:t>
      </w:r>
      <w:r w:rsidR="00FC7EC1">
        <w:t>,</w:t>
      </w:r>
      <w:r w:rsidR="000A49C8">
        <w:t xml:space="preserve"> we </w:t>
      </w:r>
      <w:r w:rsidR="00164C82">
        <w:t>made the following</w:t>
      </w:r>
      <w:r w:rsidR="008C6CB6">
        <w:t xml:space="preserve"> observations and</w:t>
      </w:r>
      <w:r w:rsidR="00164C82">
        <w:t xml:space="preserve"> </w:t>
      </w:r>
      <w:r w:rsidR="00DC3BF4">
        <w:t>p</w:t>
      </w:r>
      <w:r w:rsidR="00C27274">
        <w:t>roposals</w:t>
      </w:r>
      <w:r w:rsidR="00DC3BF4">
        <w:t>:</w:t>
      </w:r>
    </w:p>
    <w:p w14:paraId="727A758C" w14:textId="270E70B5" w:rsidR="008C30B2" w:rsidRPr="008C30B2" w:rsidRDefault="008C30B2" w:rsidP="00581990">
      <w:pPr>
        <w:jc w:val="both"/>
        <w:rPr>
          <w:b/>
        </w:rPr>
      </w:pPr>
      <w:r w:rsidRPr="008C30B2">
        <w:rPr>
          <w:b/>
        </w:rPr>
        <w:t>Observations:</w:t>
      </w:r>
    </w:p>
    <w:p w14:paraId="2A645708" w14:textId="77777777" w:rsidR="00E567A3" w:rsidRPr="00E567A3" w:rsidRDefault="000E445F">
      <w:pPr>
        <w:pStyle w:val="TOC1"/>
        <w:rPr>
          <w:rFonts w:asciiTheme="minorHAnsi" w:eastAsiaTheme="minorEastAsia" w:hAnsiTheme="minorHAnsi" w:cstheme="minorBidi"/>
          <w:b/>
          <w:noProof/>
          <w:sz w:val="22"/>
          <w:szCs w:val="22"/>
          <w:lang w:val="en-US"/>
        </w:rPr>
      </w:pPr>
      <w:r w:rsidRPr="00E567A3">
        <w:rPr>
          <w:b/>
        </w:rPr>
        <w:fldChar w:fldCharType="begin"/>
      </w:r>
      <w:r w:rsidRPr="00E567A3">
        <w:rPr>
          <w:b/>
        </w:rPr>
        <w:instrText xml:space="preserve"> TOC \t "Observation" \z \n</w:instrText>
      </w:r>
      <w:r w:rsidRPr="00E567A3">
        <w:rPr>
          <w:b/>
        </w:rPr>
        <w:fldChar w:fldCharType="separate"/>
      </w:r>
      <w:r w:rsidR="00E567A3" w:rsidRPr="00E567A3">
        <w:rPr>
          <w:b/>
          <w:noProof/>
        </w:rPr>
        <w:t>Observation 1.</w:t>
      </w:r>
      <w:r w:rsidR="00E567A3" w:rsidRPr="00E567A3">
        <w:rPr>
          <w:rFonts w:asciiTheme="minorHAnsi" w:eastAsiaTheme="minorEastAsia" w:hAnsiTheme="minorHAnsi" w:cstheme="minorBidi"/>
          <w:b/>
          <w:noProof/>
          <w:sz w:val="22"/>
          <w:szCs w:val="22"/>
          <w:lang w:val="en-US"/>
        </w:rPr>
        <w:tab/>
      </w:r>
      <w:r w:rsidR="00E567A3" w:rsidRPr="00E567A3">
        <w:rPr>
          <w:b/>
          <w:noProof/>
        </w:rPr>
        <w:t>A URLLC capable UE is expected to support the legacy LTE as well as URLLC/sTTI operations.</w:t>
      </w:r>
    </w:p>
    <w:p w14:paraId="46E4AC0A" w14:textId="77777777" w:rsidR="00E567A3" w:rsidRDefault="000E445F" w:rsidP="003E0CC6">
      <w:pPr>
        <w:jc w:val="both"/>
        <w:rPr>
          <w:b/>
        </w:rPr>
      </w:pPr>
      <w:r w:rsidRPr="00E567A3">
        <w:rPr>
          <w:b/>
        </w:rPr>
        <w:fldChar w:fldCharType="end"/>
      </w:r>
      <w:bookmarkStart w:id="9" w:name="_Hlk494188749"/>
    </w:p>
    <w:p w14:paraId="145ED3E0" w14:textId="77777777" w:rsidR="00E567A3" w:rsidRPr="00E567A3" w:rsidRDefault="008C30B2" w:rsidP="003E0CC6">
      <w:pPr>
        <w:jc w:val="both"/>
        <w:rPr>
          <w:b/>
          <w:noProof/>
        </w:rPr>
      </w:pPr>
      <w:r>
        <w:rPr>
          <w:b/>
        </w:rPr>
        <w:t>Proposals:</w:t>
      </w:r>
      <w:r w:rsidR="00C27274" w:rsidRPr="00E567A3">
        <w:rPr>
          <w:b/>
        </w:rPr>
        <w:fldChar w:fldCharType="begin"/>
      </w:r>
      <w:r w:rsidR="00C27274" w:rsidRPr="00E567A3">
        <w:rPr>
          <w:b/>
        </w:rPr>
        <w:instrText xml:space="preserve"> TOC \t "Proposal" \z \n</w:instrText>
      </w:r>
      <w:r w:rsidR="00C27274" w:rsidRPr="00E567A3">
        <w:rPr>
          <w:b/>
        </w:rPr>
        <w:fldChar w:fldCharType="separate"/>
      </w:r>
    </w:p>
    <w:p w14:paraId="14F2FB70" w14:textId="77777777" w:rsidR="00E567A3" w:rsidRPr="00E567A3" w:rsidRDefault="00E567A3">
      <w:pPr>
        <w:pStyle w:val="TOC1"/>
        <w:rPr>
          <w:rFonts w:asciiTheme="minorHAnsi" w:eastAsiaTheme="minorEastAsia" w:hAnsiTheme="minorHAnsi" w:cstheme="minorBidi"/>
          <w:b/>
          <w:noProof/>
          <w:sz w:val="22"/>
          <w:szCs w:val="22"/>
          <w:lang w:val="en-US"/>
        </w:rPr>
      </w:pPr>
      <w:r w:rsidRPr="00E567A3">
        <w:rPr>
          <w:b/>
          <w:noProof/>
        </w:rPr>
        <w:t>Proposal 1.</w:t>
      </w:r>
      <w:r w:rsidRPr="00E567A3">
        <w:rPr>
          <w:rFonts w:asciiTheme="minorHAnsi" w:eastAsiaTheme="minorEastAsia" w:hAnsiTheme="minorHAnsi" w:cstheme="minorBidi"/>
          <w:b/>
          <w:noProof/>
          <w:sz w:val="22"/>
          <w:szCs w:val="22"/>
          <w:lang w:val="en-US"/>
        </w:rPr>
        <w:tab/>
      </w:r>
      <w:r w:rsidRPr="00E567A3">
        <w:rPr>
          <w:b/>
          <w:noProof/>
        </w:rPr>
        <w:t>The semi-static configuration of PCFICH duration is only applied for URLLC services. For other legacy LTE services, the UE is expected to decode the PCFICH.</w:t>
      </w:r>
    </w:p>
    <w:p w14:paraId="48A4C0F8" w14:textId="77777777" w:rsidR="00E567A3" w:rsidRPr="00E567A3" w:rsidRDefault="00E567A3">
      <w:pPr>
        <w:pStyle w:val="TOC1"/>
        <w:rPr>
          <w:rFonts w:asciiTheme="minorHAnsi" w:eastAsiaTheme="minorEastAsia" w:hAnsiTheme="minorHAnsi" w:cstheme="minorBidi"/>
          <w:b/>
          <w:noProof/>
          <w:sz w:val="22"/>
          <w:szCs w:val="22"/>
          <w:lang w:val="en-US"/>
        </w:rPr>
      </w:pPr>
      <w:r w:rsidRPr="00E567A3">
        <w:rPr>
          <w:b/>
          <w:noProof/>
        </w:rPr>
        <w:t>Proposal 2.</w:t>
      </w:r>
      <w:r w:rsidRPr="00E567A3">
        <w:rPr>
          <w:rFonts w:asciiTheme="minorHAnsi" w:eastAsiaTheme="minorEastAsia" w:hAnsiTheme="minorHAnsi" w:cstheme="minorBidi"/>
          <w:b/>
          <w:noProof/>
          <w:sz w:val="22"/>
          <w:szCs w:val="22"/>
          <w:lang w:val="en-US"/>
        </w:rPr>
        <w:tab/>
      </w:r>
      <w:r w:rsidRPr="00E567A3">
        <w:rPr>
          <w:b/>
          <w:noProof/>
        </w:rPr>
        <w:t>The value of the CFI indicated dynamically via PCFICH should be smaller than or equal to the value configured semi-statically.</w:t>
      </w:r>
    </w:p>
    <w:p w14:paraId="738BB64B" w14:textId="77777777" w:rsidR="00E567A3" w:rsidRPr="00E567A3" w:rsidRDefault="00E567A3">
      <w:pPr>
        <w:pStyle w:val="TOC1"/>
        <w:rPr>
          <w:rFonts w:asciiTheme="minorHAnsi" w:eastAsiaTheme="minorEastAsia" w:hAnsiTheme="minorHAnsi" w:cstheme="minorBidi"/>
          <w:b/>
          <w:noProof/>
          <w:sz w:val="22"/>
          <w:szCs w:val="22"/>
          <w:lang w:val="en-US"/>
        </w:rPr>
      </w:pPr>
      <w:r w:rsidRPr="00E567A3">
        <w:rPr>
          <w:b/>
          <w:noProof/>
        </w:rPr>
        <w:t>Proposal 3.</w:t>
      </w:r>
      <w:r w:rsidRPr="00E567A3">
        <w:rPr>
          <w:rFonts w:asciiTheme="minorHAnsi" w:eastAsiaTheme="minorEastAsia" w:hAnsiTheme="minorHAnsi" w:cstheme="minorBidi"/>
          <w:b/>
          <w:noProof/>
          <w:sz w:val="22"/>
          <w:szCs w:val="22"/>
          <w:lang w:val="en-US"/>
        </w:rPr>
        <w:tab/>
      </w:r>
      <w:r w:rsidRPr="00E567A3">
        <w:rPr>
          <w:b/>
          <w:noProof/>
        </w:rPr>
        <w:t>Support semi-static configuration of PCFICH duration by using SIB.</w:t>
      </w:r>
    </w:p>
    <w:p w14:paraId="51DD5108" w14:textId="77777777" w:rsidR="00E567A3" w:rsidRPr="00E567A3" w:rsidRDefault="00E567A3">
      <w:pPr>
        <w:pStyle w:val="TOC1"/>
        <w:rPr>
          <w:rFonts w:asciiTheme="minorHAnsi" w:eastAsiaTheme="minorEastAsia" w:hAnsiTheme="minorHAnsi" w:cstheme="minorBidi"/>
          <w:b/>
          <w:noProof/>
          <w:sz w:val="22"/>
          <w:szCs w:val="22"/>
          <w:lang w:val="en-US"/>
        </w:rPr>
      </w:pPr>
      <w:r w:rsidRPr="00E567A3">
        <w:rPr>
          <w:b/>
          <w:noProof/>
        </w:rPr>
        <w:t>Proposal 4.</w:t>
      </w:r>
      <w:r w:rsidRPr="00E567A3">
        <w:rPr>
          <w:rFonts w:asciiTheme="minorHAnsi" w:eastAsiaTheme="minorEastAsia" w:hAnsiTheme="minorHAnsi" w:cstheme="minorBidi"/>
          <w:b/>
          <w:noProof/>
          <w:sz w:val="22"/>
          <w:szCs w:val="22"/>
          <w:lang w:val="en-US"/>
        </w:rPr>
        <w:tab/>
      </w:r>
      <w:r w:rsidRPr="00E567A3">
        <w:rPr>
          <w:b/>
          <w:noProof/>
        </w:rPr>
        <w:t>Support semi-static configuration of PCFICH duration by dedicated RRC signalling. Dedicated configuration overrides the SIB-based configuration.</w:t>
      </w:r>
    </w:p>
    <w:p w14:paraId="327A8E6D" w14:textId="77777777" w:rsidR="00E567A3" w:rsidRPr="00E567A3" w:rsidRDefault="00E567A3">
      <w:pPr>
        <w:pStyle w:val="TOC1"/>
        <w:rPr>
          <w:rFonts w:asciiTheme="minorHAnsi" w:eastAsiaTheme="minorEastAsia" w:hAnsiTheme="minorHAnsi" w:cstheme="minorBidi"/>
          <w:b/>
          <w:noProof/>
          <w:sz w:val="22"/>
          <w:szCs w:val="22"/>
          <w:lang w:val="en-US"/>
        </w:rPr>
      </w:pPr>
      <w:r w:rsidRPr="00E567A3">
        <w:rPr>
          <w:b/>
          <w:noProof/>
        </w:rPr>
        <w:t>Proposal 5.</w:t>
      </w:r>
      <w:r w:rsidRPr="00E567A3">
        <w:rPr>
          <w:rFonts w:asciiTheme="minorHAnsi" w:eastAsiaTheme="minorEastAsia" w:hAnsiTheme="minorHAnsi" w:cstheme="minorBidi"/>
          <w:b/>
          <w:noProof/>
          <w:sz w:val="22"/>
          <w:szCs w:val="22"/>
          <w:lang w:val="en-US"/>
        </w:rPr>
        <w:tab/>
      </w:r>
      <w:r w:rsidRPr="00E567A3">
        <w:rPr>
          <w:b/>
          <w:noProof/>
        </w:rPr>
        <w:t>Support separate semi-static configuration of PCFICH duration for MBSFN and non-MBSFN subframes.</w:t>
      </w:r>
    </w:p>
    <w:p w14:paraId="27BAD735" w14:textId="3054522D" w:rsidR="00C27274" w:rsidRDefault="00C27274" w:rsidP="00F47F86">
      <w:pPr>
        <w:jc w:val="both"/>
        <w:rPr>
          <w:b/>
        </w:rPr>
      </w:pPr>
      <w:r w:rsidRPr="00E567A3">
        <w:rPr>
          <w:b/>
        </w:rPr>
        <w:fldChar w:fldCharType="end"/>
      </w:r>
      <w:bookmarkEnd w:id="9"/>
    </w:p>
    <w:p w14:paraId="3679FD3A" w14:textId="77777777" w:rsidR="00CB1C5B" w:rsidRPr="006063E6" w:rsidRDefault="00CB1C5B" w:rsidP="006063E6">
      <w:pPr>
        <w:pStyle w:val="Heading1"/>
      </w:pPr>
      <w:r w:rsidRPr="006063E6">
        <w:t>References</w:t>
      </w:r>
    </w:p>
    <w:p w14:paraId="48661BA9" w14:textId="1BEDC73B" w:rsidR="002B58C5" w:rsidRDefault="00124E36" w:rsidP="00954097">
      <w:pPr>
        <w:pStyle w:val="ListParagraph"/>
        <w:numPr>
          <w:ilvl w:val="0"/>
          <w:numId w:val="5"/>
        </w:numPr>
        <w:spacing w:after="0" w:line="276" w:lineRule="auto"/>
        <w:rPr>
          <w:bCs/>
          <w:shd w:val="clear" w:color="auto" w:fill="FFFFFF"/>
        </w:rPr>
      </w:pPr>
      <w:r w:rsidRPr="002C597C">
        <w:rPr>
          <w:bCs/>
          <w:shd w:val="clear" w:color="auto" w:fill="FFFFFF"/>
        </w:rPr>
        <w:t>R</w:t>
      </w:r>
      <w:r w:rsidR="002B58C5" w:rsidRPr="002C597C">
        <w:rPr>
          <w:bCs/>
          <w:shd w:val="clear" w:color="auto" w:fill="FFFFFF"/>
        </w:rPr>
        <w:t>P-17284</w:t>
      </w:r>
      <w:r w:rsidR="00954097">
        <w:rPr>
          <w:bCs/>
          <w:shd w:val="clear" w:color="auto" w:fill="FFFFFF"/>
        </w:rPr>
        <w:t>5</w:t>
      </w:r>
      <w:r w:rsidRPr="002C597C">
        <w:rPr>
          <w:bCs/>
          <w:shd w:val="clear" w:color="auto" w:fill="FFFFFF"/>
        </w:rPr>
        <w:t xml:space="preserve">, </w:t>
      </w:r>
      <w:r w:rsidR="00954097" w:rsidRPr="00954097">
        <w:rPr>
          <w:bCs/>
          <w:shd w:val="clear" w:color="auto" w:fill="FFFFFF"/>
        </w:rPr>
        <w:t>Revised Work item on Ultra Reliable Low Latency Communication for LTE</w:t>
      </w:r>
      <w:r w:rsidR="00D11465">
        <w:rPr>
          <w:bCs/>
          <w:shd w:val="clear" w:color="auto" w:fill="FFFFFF"/>
        </w:rPr>
        <w:t>, Ericsson</w:t>
      </w:r>
    </w:p>
    <w:p w14:paraId="46F2A64D" w14:textId="77777777" w:rsidR="00D11465" w:rsidRDefault="00D11465" w:rsidP="00D11465">
      <w:pPr>
        <w:pStyle w:val="ListParagraph"/>
        <w:numPr>
          <w:ilvl w:val="0"/>
          <w:numId w:val="5"/>
        </w:numPr>
        <w:spacing w:after="0" w:line="276" w:lineRule="auto"/>
        <w:rPr>
          <w:bCs/>
          <w:shd w:val="clear" w:color="auto" w:fill="FFFFFF"/>
        </w:rPr>
      </w:pPr>
      <w:r>
        <w:rPr>
          <w:bCs/>
          <w:shd w:val="clear" w:color="auto" w:fill="FFFFFF"/>
        </w:rPr>
        <w:t>RP-180586, Way forward for handling URLLC for LTE feature, Nokia</w:t>
      </w:r>
    </w:p>
    <w:sectPr w:rsidR="00D11465" w:rsidSect="0028052E">
      <w:headerReference w:type="even" r:id="rId16"/>
      <w:footerReference w:type="even"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D69B1" w14:textId="77777777" w:rsidR="00DF207C" w:rsidRDefault="00DF207C">
      <w:pPr>
        <w:spacing w:after="0"/>
      </w:pPr>
      <w:r>
        <w:separator/>
      </w:r>
    </w:p>
  </w:endnote>
  <w:endnote w:type="continuationSeparator" w:id="0">
    <w:p w14:paraId="3A4C36E2" w14:textId="77777777" w:rsidR="00DF207C" w:rsidRDefault="00DF2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4F966" w14:textId="77777777" w:rsidR="00DF207C" w:rsidRDefault="00DF207C">
      <w:pPr>
        <w:spacing w:after="0"/>
      </w:pPr>
      <w:r>
        <w:separator/>
      </w:r>
    </w:p>
  </w:footnote>
  <w:footnote w:type="continuationSeparator" w:id="0">
    <w:p w14:paraId="03620A57" w14:textId="77777777" w:rsidR="00DF207C" w:rsidRDefault="00DF20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DF207C">
      <w:fldChar w:fldCharType="begin"/>
    </w:r>
    <w:r w:rsidR="00DF207C">
      <w:instrText xml:space="preserve"> STYLEREF "Heading 1" \* MERGEFORMAT </w:instrText>
    </w:r>
    <w:r w:rsidR="00DF207C">
      <w:fldChar w:fldCharType="separate"/>
    </w:r>
    <w:r>
      <w:rPr>
        <w:noProof/>
      </w:rPr>
      <w:t>Introduction</w:t>
    </w:r>
    <w:r w:rsidR="00DF207C">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DF207C">
      <w:fldChar w:fldCharType="begin"/>
    </w:r>
    <w:r w:rsidR="00DF207C">
      <w:instrText xml:space="preserve"> STYLEREF "Heading 1" \* MERGEFORMAT </w:instrText>
    </w:r>
    <w:r w:rsidR="00DF207C">
      <w:fldChar w:fldCharType="separate"/>
    </w:r>
    <w:r>
      <w:rPr>
        <w:noProof/>
      </w:rPr>
      <w:t>Introduction</w:t>
    </w:r>
    <w:r w:rsidR="00DF207C">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B268B8"/>
    <w:multiLevelType w:val="hybridMultilevel"/>
    <w:tmpl w:val="E0A0F148"/>
    <w:lvl w:ilvl="0" w:tplc="00F65DEC">
      <w:start w:val="1"/>
      <w:numFmt w:val="decimal"/>
      <w:pStyle w:val="Proposal"/>
      <w:lvlText w:val="Proposal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B3A42"/>
    <w:multiLevelType w:val="multilevel"/>
    <w:tmpl w:val="F1443ED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5C697D4C"/>
    <w:multiLevelType w:val="multilevel"/>
    <w:tmpl w:val="EEF01346"/>
    <w:lvl w:ilvl="0">
      <w:start w:val="1"/>
      <w:numFmt w:val="decimal"/>
      <w:lvlText w:val="%1."/>
      <w:lvlJc w:val="left"/>
      <w:pPr>
        <w:ind w:left="720" w:hanging="360"/>
      </w:pPr>
      <w:rPr>
        <w:rFonts w:hint="default"/>
      </w:rPr>
    </w:lvl>
    <w:lvl w:ilv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963579D"/>
    <w:multiLevelType w:val="hybridMultilevel"/>
    <w:tmpl w:val="DD440F44"/>
    <w:lvl w:ilvl="0" w:tplc="DED8C5A6">
      <w:start w:val="1"/>
      <w:numFmt w:val="bullet"/>
      <w:lvlText w:val="•"/>
      <w:lvlJc w:val="left"/>
      <w:pPr>
        <w:tabs>
          <w:tab w:val="num" w:pos="720"/>
        </w:tabs>
        <w:ind w:left="720" w:hanging="360"/>
      </w:pPr>
      <w:rPr>
        <w:rFonts w:ascii="Arial" w:hAnsi="Arial" w:hint="default"/>
      </w:rPr>
    </w:lvl>
    <w:lvl w:ilvl="1" w:tplc="F19A2F48">
      <w:start w:val="308"/>
      <w:numFmt w:val="bullet"/>
      <w:lvlText w:val="–"/>
      <w:lvlJc w:val="left"/>
      <w:pPr>
        <w:tabs>
          <w:tab w:val="num" w:pos="1440"/>
        </w:tabs>
        <w:ind w:left="1440" w:hanging="360"/>
      </w:pPr>
      <w:rPr>
        <w:rFonts w:ascii="Arial" w:hAnsi="Arial" w:hint="default"/>
      </w:rPr>
    </w:lvl>
    <w:lvl w:ilvl="2" w:tplc="2E248A24">
      <w:start w:val="308"/>
      <w:numFmt w:val="bullet"/>
      <w:lvlText w:val="•"/>
      <w:lvlJc w:val="left"/>
      <w:pPr>
        <w:tabs>
          <w:tab w:val="num" w:pos="2160"/>
        </w:tabs>
        <w:ind w:left="2160" w:hanging="360"/>
      </w:pPr>
      <w:rPr>
        <w:rFonts w:ascii="Arial" w:hAnsi="Arial" w:hint="default"/>
      </w:rPr>
    </w:lvl>
    <w:lvl w:ilvl="3" w:tplc="17D25392" w:tentative="1">
      <w:start w:val="1"/>
      <w:numFmt w:val="bullet"/>
      <w:lvlText w:val="•"/>
      <w:lvlJc w:val="left"/>
      <w:pPr>
        <w:tabs>
          <w:tab w:val="num" w:pos="2880"/>
        </w:tabs>
        <w:ind w:left="2880" w:hanging="360"/>
      </w:pPr>
      <w:rPr>
        <w:rFonts w:ascii="Arial" w:hAnsi="Arial" w:hint="default"/>
      </w:rPr>
    </w:lvl>
    <w:lvl w:ilvl="4" w:tplc="73920176" w:tentative="1">
      <w:start w:val="1"/>
      <w:numFmt w:val="bullet"/>
      <w:lvlText w:val="•"/>
      <w:lvlJc w:val="left"/>
      <w:pPr>
        <w:tabs>
          <w:tab w:val="num" w:pos="3600"/>
        </w:tabs>
        <w:ind w:left="3600" w:hanging="360"/>
      </w:pPr>
      <w:rPr>
        <w:rFonts w:ascii="Arial" w:hAnsi="Arial" w:hint="default"/>
      </w:rPr>
    </w:lvl>
    <w:lvl w:ilvl="5" w:tplc="5418A79A" w:tentative="1">
      <w:start w:val="1"/>
      <w:numFmt w:val="bullet"/>
      <w:lvlText w:val="•"/>
      <w:lvlJc w:val="left"/>
      <w:pPr>
        <w:tabs>
          <w:tab w:val="num" w:pos="4320"/>
        </w:tabs>
        <w:ind w:left="4320" w:hanging="360"/>
      </w:pPr>
      <w:rPr>
        <w:rFonts w:ascii="Arial" w:hAnsi="Arial" w:hint="default"/>
      </w:rPr>
    </w:lvl>
    <w:lvl w:ilvl="6" w:tplc="735AD51A" w:tentative="1">
      <w:start w:val="1"/>
      <w:numFmt w:val="bullet"/>
      <w:lvlText w:val="•"/>
      <w:lvlJc w:val="left"/>
      <w:pPr>
        <w:tabs>
          <w:tab w:val="num" w:pos="5040"/>
        </w:tabs>
        <w:ind w:left="5040" w:hanging="360"/>
      </w:pPr>
      <w:rPr>
        <w:rFonts w:ascii="Arial" w:hAnsi="Arial" w:hint="default"/>
      </w:rPr>
    </w:lvl>
    <w:lvl w:ilvl="7" w:tplc="FF5CF5F8" w:tentative="1">
      <w:start w:val="1"/>
      <w:numFmt w:val="bullet"/>
      <w:lvlText w:val="•"/>
      <w:lvlJc w:val="left"/>
      <w:pPr>
        <w:tabs>
          <w:tab w:val="num" w:pos="5760"/>
        </w:tabs>
        <w:ind w:left="5760" w:hanging="360"/>
      </w:pPr>
      <w:rPr>
        <w:rFonts w:ascii="Arial" w:hAnsi="Arial" w:hint="default"/>
      </w:rPr>
    </w:lvl>
    <w:lvl w:ilvl="8" w:tplc="F47CFA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14388E"/>
    <w:multiLevelType w:val="hybridMultilevel"/>
    <w:tmpl w:val="2B7A69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794F0A"/>
    <w:multiLevelType w:val="hybridMultilevel"/>
    <w:tmpl w:val="D2B033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6"/>
  </w:num>
  <w:num w:numId="4">
    <w:abstractNumId w:val="2"/>
  </w:num>
  <w:num w:numId="5">
    <w:abstractNumId w:val="11"/>
  </w:num>
  <w:num w:numId="6">
    <w:abstractNumId w:val="3"/>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7">
    <w:abstractNumId w:val="13"/>
  </w:num>
  <w:num w:numId="8">
    <w:abstractNumId w:val="10"/>
  </w:num>
  <w:num w:numId="9">
    <w:abstractNumId w:val="12"/>
  </w:num>
  <w:num w:numId="10">
    <w:abstractNumId w:val="8"/>
  </w:num>
  <w:num w:numId="11">
    <w:abstractNumId w:val="6"/>
  </w:num>
  <w:num w:numId="12">
    <w:abstractNumId w:val="6"/>
  </w:num>
  <w:num w:numId="13">
    <w:abstractNumId w:val="6"/>
  </w:num>
  <w:num w:numId="14">
    <w:abstractNumId w:val="6"/>
  </w:num>
  <w:num w:numId="15">
    <w:abstractNumId w:val="7"/>
  </w:num>
  <w:num w:numId="16">
    <w:abstractNumId w:val="9"/>
  </w:num>
  <w:num w:numId="17">
    <w:abstractNumId w:val="6"/>
  </w:num>
  <w:num w:numId="18">
    <w:abstractNumId w:val="2"/>
  </w:num>
  <w:num w:numId="19">
    <w:abstractNumId w:val="6"/>
  </w:num>
  <w:num w:numId="20">
    <w:abstractNumId w:val="6"/>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
  </w:num>
  <w:num w:numId="23">
    <w:abstractNumId w:val="2"/>
  </w:num>
  <w:num w:numId="24">
    <w:abstractNumId w:val="6"/>
  </w:num>
  <w:num w:numId="25">
    <w:abstractNumId w:val="2"/>
  </w:num>
  <w:num w:numId="26">
    <w:abstractNumId w:val="2"/>
  </w:num>
  <w:num w:numId="27">
    <w:abstractNumId w:val="2"/>
  </w:num>
  <w:num w:numId="28">
    <w:abstractNumId w:val="2"/>
  </w:num>
  <w:num w:numId="29">
    <w:abstractNumId w:val="2"/>
  </w:num>
  <w:num w:numId="3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215F"/>
    <w:rsid w:val="00002C54"/>
    <w:rsid w:val="000041A0"/>
    <w:rsid w:val="00004611"/>
    <w:rsid w:val="00004BF6"/>
    <w:rsid w:val="00004EFE"/>
    <w:rsid w:val="00005F3B"/>
    <w:rsid w:val="00006D93"/>
    <w:rsid w:val="00007AC4"/>
    <w:rsid w:val="00007BD1"/>
    <w:rsid w:val="0001102B"/>
    <w:rsid w:val="0001179D"/>
    <w:rsid w:val="00012261"/>
    <w:rsid w:val="00013395"/>
    <w:rsid w:val="0001486D"/>
    <w:rsid w:val="00015268"/>
    <w:rsid w:val="00015C04"/>
    <w:rsid w:val="000169E2"/>
    <w:rsid w:val="00016EC3"/>
    <w:rsid w:val="00017CEE"/>
    <w:rsid w:val="00021364"/>
    <w:rsid w:val="00022728"/>
    <w:rsid w:val="00022E66"/>
    <w:rsid w:val="00022FBC"/>
    <w:rsid w:val="0002344D"/>
    <w:rsid w:val="00023F87"/>
    <w:rsid w:val="00024C64"/>
    <w:rsid w:val="00024D2F"/>
    <w:rsid w:val="0002710E"/>
    <w:rsid w:val="00030B16"/>
    <w:rsid w:val="00030C8D"/>
    <w:rsid w:val="00030F47"/>
    <w:rsid w:val="00031084"/>
    <w:rsid w:val="000321E7"/>
    <w:rsid w:val="000322FA"/>
    <w:rsid w:val="00032D4B"/>
    <w:rsid w:val="00033D08"/>
    <w:rsid w:val="00035170"/>
    <w:rsid w:val="00035257"/>
    <w:rsid w:val="00036273"/>
    <w:rsid w:val="00037740"/>
    <w:rsid w:val="000378A5"/>
    <w:rsid w:val="00041114"/>
    <w:rsid w:val="0004144F"/>
    <w:rsid w:val="00041C13"/>
    <w:rsid w:val="00042196"/>
    <w:rsid w:val="00043C85"/>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5C7E"/>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61BA"/>
    <w:rsid w:val="000763D7"/>
    <w:rsid w:val="000773E9"/>
    <w:rsid w:val="0008008F"/>
    <w:rsid w:val="00080100"/>
    <w:rsid w:val="0008017F"/>
    <w:rsid w:val="000810A5"/>
    <w:rsid w:val="00081B65"/>
    <w:rsid w:val="00081F4C"/>
    <w:rsid w:val="000846BD"/>
    <w:rsid w:val="00084B4B"/>
    <w:rsid w:val="00085E77"/>
    <w:rsid w:val="00086962"/>
    <w:rsid w:val="000869F5"/>
    <w:rsid w:val="00090F1F"/>
    <w:rsid w:val="00091749"/>
    <w:rsid w:val="00091C17"/>
    <w:rsid w:val="00096451"/>
    <w:rsid w:val="00096622"/>
    <w:rsid w:val="00097C42"/>
    <w:rsid w:val="000A07B1"/>
    <w:rsid w:val="000A096A"/>
    <w:rsid w:val="000A2136"/>
    <w:rsid w:val="000A24C0"/>
    <w:rsid w:val="000A3128"/>
    <w:rsid w:val="000A3AC5"/>
    <w:rsid w:val="000A42F0"/>
    <w:rsid w:val="000A49C8"/>
    <w:rsid w:val="000A5FE7"/>
    <w:rsid w:val="000A65A7"/>
    <w:rsid w:val="000A7637"/>
    <w:rsid w:val="000B2434"/>
    <w:rsid w:val="000B2B6C"/>
    <w:rsid w:val="000B2F90"/>
    <w:rsid w:val="000B402F"/>
    <w:rsid w:val="000B43E4"/>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E14DC"/>
    <w:rsid w:val="000E1573"/>
    <w:rsid w:val="000E164A"/>
    <w:rsid w:val="000E18AE"/>
    <w:rsid w:val="000E19BF"/>
    <w:rsid w:val="000E242F"/>
    <w:rsid w:val="000E32F7"/>
    <w:rsid w:val="000E36FD"/>
    <w:rsid w:val="000E3F6C"/>
    <w:rsid w:val="000E445F"/>
    <w:rsid w:val="000E550A"/>
    <w:rsid w:val="000E63C5"/>
    <w:rsid w:val="000E67F5"/>
    <w:rsid w:val="000E6C4B"/>
    <w:rsid w:val="000E7064"/>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96D"/>
    <w:rsid w:val="00105E01"/>
    <w:rsid w:val="00106641"/>
    <w:rsid w:val="0010693B"/>
    <w:rsid w:val="00106B4D"/>
    <w:rsid w:val="001072BC"/>
    <w:rsid w:val="001079A0"/>
    <w:rsid w:val="00111158"/>
    <w:rsid w:val="001129AD"/>
    <w:rsid w:val="00112A69"/>
    <w:rsid w:val="0011315E"/>
    <w:rsid w:val="001161C3"/>
    <w:rsid w:val="001165D0"/>
    <w:rsid w:val="00117B64"/>
    <w:rsid w:val="00120020"/>
    <w:rsid w:val="00120259"/>
    <w:rsid w:val="00121A26"/>
    <w:rsid w:val="00121B10"/>
    <w:rsid w:val="0012273F"/>
    <w:rsid w:val="00123141"/>
    <w:rsid w:val="00123423"/>
    <w:rsid w:val="00123430"/>
    <w:rsid w:val="00123555"/>
    <w:rsid w:val="001248F0"/>
    <w:rsid w:val="00124E36"/>
    <w:rsid w:val="00124FAF"/>
    <w:rsid w:val="0012552D"/>
    <w:rsid w:val="0012607A"/>
    <w:rsid w:val="00126334"/>
    <w:rsid w:val="00126B23"/>
    <w:rsid w:val="0012724F"/>
    <w:rsid w:val="001276A8"/>
    <w:rsid w:val="0012792F"/>
    <w:rsid w:val="00127B21"/>
    <w:rsid w:val="001302D5"/>
    <w:rsid w:val="00132E15"/>
    <w:rsid w:val="001338EF"/>
    <w:rsid w:val="00133D6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06F8"/>
    <w:rsid w:val="00173F5A"/>
    <w:rsid w:val="001756D5"/>
    <w:rsid w:val="001765E6"/>
    <w:rsid w:val="00176840"/>
    <w:rsid w:val="00176E37"/>
    <w:rsid w:val="00176F8C"/>
    <w:rsid w:val="001770A3"/>
    <w:rsid w:val="00177C69"/>
    <w:rsid w:val="0018093F"/>
    <w:rsid w:val="00180BF4"/>
    <w:rsid w:val="00182BBA"/>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181C"/>
    <w:rsid w:val="001A2483"/>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908"/>
    <w:rsid w:val="001B4A5C"/>
    <w:rsid w:val="001B6E46"/>
    <w:rsid w:val="001C0B3F"/>
    <w:rsid w:val="001C12F4"/>
    <w:rsid w:val="001C2590"/>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70C0"/>
    <w:rsid w:val="001D7171"/>
    <w:rsid w:val="001E016E"/>
    <w:rsid w:val="001E0F54"/>
    <w:rsid w:val="001E4B4E"/>
    <w:rsid w:val="001E72C1"/>
    <w:rsid w:val="001E78F7"/>
    <w:rsid w:val="001E7A99"/>
    <w:rsid w:val="001F0590"/>
    <w:rsid w:val="001F14EC"/>
    <w:rsid w:val="001F1E4B"/>
    <w:rsid w:val="001F36CD"/>
    <w:rsid w:val="001F3F09"/>
    <w:rsid w:val="001F4437"/>
    <w:rsid w:val="001F4F07"/>
    <w:rsid w:val="001F5409"/>
    <w:rsid w:val="00200EB0"/>
    <w:rsid w:val="00200F68"/>
    <w:rsid w:val="0020104E"/>
    <w:rsid w:val="00201055"/>
    <w:rsid w:val="0020107D"/>
    <w:rsid w:val="00201B06"/>
    <w:rsid w:val="00203904"/>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17EB4"/>
    <w:rsid w:val="002202A2"/>
    <w:rsid w:val="002209F4"/>
    <w:rsid w:val="00222094"/>
    <w:rsid w:val="00222331"/>
    <w:rsid w:val="00222B50"/>
    <w:rsid w:val="00223595"/>
    <w:rsid w:val="00223AA3"/>
    <w:rsid w:val="0022407A"/>
    <w:rsid w:val="00224080"/>
    <w:rsid w:val="002249DE"/>
    <w:rsid w:val="002276D2"/>
    <w:rsid w:val="00231510"/>
    <w:rsid w:val="00232B83"/>
    <w:rsid w:val="00233E03"/>
    <w:rsid w:val="00233F68"/>
    <w:rsid w:val="0023484F"/>
    <w:rsid w:val="00235D3B"/>
    <w:rsid w:val="00236085"/>
    <w:rsid w:val="00236686"/>
    <w:rsid w:val="00236EFB"/>
    <w:rsid w:val="00237A99"/>
    <w:rsid w:val="00237B4F"/>
    <w:rsid w:val="00237EBE"/>
    <w:rsid w:val="0024057D"/>
    <w:rsid w:val="0024151F"/>
    <w:rsid w:val="00242697"/>
    <w:rsid w:val="00242DB7"/>
    <w:rsid w:val="00243F19"/>
    <w:rsid w:val="002444CA"/>
    <w:rsid w:val="002445B2"/>
    <w:rsid w:val="00245518"/>
    <w:rsid w:val="0024659E"/>
    <w:rsid w:val="00247391"/>
    <w:rsid w:val="0025017B"/>
    <w:rsid w:val="002507C1"/>
    <w:rsid w:val="0025197A"/>
    <w:rsid w:val="00251B5D"/>
    <w:rsid w:val="00252754"/>
    <w:rsid w:val="00255492"/>
    <w:rsid w:val="002558A4"/>
    <w:rsid w:val="00256239"/>
    <w:rsid w:val="00256928"/>
    <w:rsid w:val="002570DA"/>
    <w:rsid w:val="00257AD0"/>
    <w:rsid w:val="0026073A"/>
    <w:rsid w:val="0026076C"/>
    <w:rsid w:val="002607F2"/>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3FC8"/>
    <w:rsid w:val="002741F8"/>
    <w:rsid w:val="00274BC5"/>
    <w:rsid w:val="00274DFE"/>
    <w:rsid w:val="0027508B"/>
    <w:rsid w:val="0027555B"/>
    <w:rsid w:val="0027612C"/>
    <w:rsid w:val="002778E9"/>
    <w:rsid w:val="0028052E"/>
    <w:rsid w:val="002805CD"/>
    <w:rsid w:val="002814BA"/>
    <w:rsid w:val="002818BC"/>
    <w:rsid w:val="00283DE4"/>
    <w:rsid w:val="002845A5"/>
    <w:rsid w:val="0028548A"/>
    <w:rsid w:val="00285A39"/>
    <w:rsid w:val="00286603"/>
    <w:rsid w:val="00286E5E"/>
    <w:rsid w:val="00287735"/>
    <w:rsid w:val="00287953"/>
    <w:rsid w:val="00287C6A"/>
    <w:rsid w:val="00287F03"/>
    <w:rsid w:val="002913C3"/>
    <w:rsid w:val="002914E1"/>
    <w:rsid w:val="0029243D"/>
    <w:rsid w:val="00292EB5"/>
    <w:rsid w:val="0029502B"/>
    <w:rsid w:val="002960A1"/>
    <w:rsid w:val="00296356"/>
    <w:rsid w:val="0029670F"/>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58C5"/>
    <w:rsid w:val="002B64AF"/>
    <w:rsid w:val="002B714E"/>
    <w:rsid w:val="002C12B1"/>
    <w:rsid w:val="002C12DC"/>
    <w:rsid w:val="002C1541"/>
    <w:rsid w:val="002C3B7F"/>
    <w:rsid w:val="002C4EC8"/>
    <w:rsid w:val="002C50D7"/>
    <w:rsid w:val="002C57FA"/>
    <w:rsid w:val="002C597C"/>
    <w:rsid w:val="002C5DF1"/>
    <w:rsid w:val="002C5EDB"/>
    <w:rsid w:val="002C731F"/>
    <w:rsid w:val="002C75B9"/>
    <w:rsid w:val="002C780B"/>
    <w:rsid w:val="002C7ECF"/>
    <w:rsid w:val="002C7F84"/>
    <w:rsid w:val="002D0B52"/>
    <w:rsid w:val="002D2AB6"/>
    <w:rsid w:val="002D3BAB"/>
    <w:rsid w:val="002D3EB9"/>
    <w:rsid w:val="002D4376"/>
    <w:rsid w:val="002D4B11"/>
    <w:rsid w:val="002D4B52"/>
    <w:rsid w:val="002D4CAB"/>
    <w:rsid w:val="002D4DB9"/>
    <w:rsid w:val="002D51FB"/>
    <w:rsid w:val="002D55CF"/>
    <w:rsid w:val="002D66F0"/>
    <w:rsid w:val="002D707C"/>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42C6"/>
    <w:rsid w:val="002F6229"/>
    <w:rsid w:val="002F684B"/>
    <w:rsid w:val="002F7C19"/>
    <w:rsid w:val="002F7C96"/>
    <w:rsid w:val="002F7D20"/>
    <w:rsid w:val="002F7EF3"/>
    <w:rsid w:val="003007A6"/>
    <w:rsid w:val="00300AA1"/>
    <w:rsid w:val="00301E22"/>
    <w:rsid w:val="003025A4"/>
    <w:rsid w:val="003037E3"/>
    <w:rsid w:val="00303923"/>
    <w:rsid w:val="00304442"/>
    <w:rsid w:val="003049F8"/>
    <w:rsid w:val="00304C32"/>
    <w:rsid w:val="003054F4"/>
    <w:rsid w:val="003057F9"/>
    <w:rsid w:val="00306164"/>
    <w:rsid w:val="003063D7"/>
    <w:rsid w:val="003074CB"/>
    <w:rsid w:val="00310253"/>
    <w:rsid w:val="00310C67"/>
    <w:rsid w:val="00310F10"/>
    <w:rsid w:val="003117F5"/>
    <w:rsid w:val="00311F81"/>
    <w:rsid w:val="0031223A"/>
    <w:rsid w:val="003130C8"/>
    <w:rsid w:val="003143E5"/>
    <w:rsid w:val="00314B06"/>
    <w:rsid w:val="00314BF1"/>
    <w:rsid w:val="0031737B"/>
    <w:rsid w:val="00317899"/>
    <w:rsid w:val="00320114"/>
    <w:rsid w:val="003202AC"/>
    <w:rsid w:val="00320325"/>
    <w:rsid w:val="00320B19"/>
    <w:rsid w:val="00321A8C"/>
    <w:rsid w:val="00322368"/>
    <w:rsid w:val="0032257A"/>
    <w:rsid w:val="00323EAD"/>
    <w:rsid w:val="00324289"/>
    <w:rsid w:val="00324F37"/>
    <w:rsid w:val="00326062"/>
    <w:rsid w:val="00326317"/>
    <w:rsid w:val="00326C2F"/>
    <w:rsid w:val="0032748E"/>
    <w:rsid w:val="00331106"/>
    <w:rsid w:val="00331151"/>
    <w:rsid w:val="003313C4"/>
    <w:rsid w:val="003316F3"/>
    <w:rsid w:val="0033201C"/>
    <w:rsid w:val="00332459"/>
    <w:rsid w:val="003337B6"/>
    <w:rsid w:val="003366E7"/>
    <w:rsid w:val="003403F9"/>
    <w:rsid w:val="00340836"/>
    <w:rsid w:val="00341DDA"/>
    <w:rsid w:val="003440E5"/>
    <w:rsid w:val="00345C68"/>
    <w:rsid w:val="00346796"/>
    <w:rsid w:val="00347A59"/>
    <w:rsid w:val="00350C50"/>
    <w:rsid w:val="0035181E"/>
    <w:rsid w:val="003541D5"/>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6A2B"/>
    <w:rsid w:val="00366BB9"/>
    <w:rsid w:val="00371659"/>
    <w:rsid w:val="0037183A"/>
    <w:rsid w:val="00372C35"/>
    <w:rsid w:val="003730D7"/>
    <w:rsid w:val="003734CF"/>
    <w:rsid w:val="003747A5"/>
    <w:rsid w:val="00374B2F"/>
    <w:rsid w:val="003806BE"/>
    <w:rsid w:val="00380C26"/>
    <w:rsid w:val="00381CA0"/>
    <w:rsid w:val="00382103"/>
    <w:rsid w:val="00383A64"/>
    <w:rsid w:val="0038594B"/>
    <w:rsid w:val="00386706"/>
    <w:rsid w:val="00391F2F"/>
    <w:rsid w:val="0039250F"/>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53D8"/>
    <w:rsid w:val="003B5D47"/>
    <w:rsid w:val="003B7322"/>
    <w:rsid w:val="003B74B9"/>
    <w:rsid w:val="003B76E8"/>
    <w:rsid w:val="003C0224"/>
    <w:rsid w:val="003C02F9"/>
    <w:rsid w:val="003C0456"/>
    <w:rsid w:val="003C07C2"/>
    <w:rsid w:val="003C0A88"/>
    <w:rsid w:val="003C1490"/>
    <w:rsid w:val="003C255C"/>
    <w:rsid w:val="003C2ADC"/>
    <w:rsid w:val="003C2EF3"/>
    <w:rsid w:val="003C3AE5"/>
    <w:rsid w:val="003C3C1E"/>
    <w:rsid w:val="003C3F2F"/>
    <w:rsid w:val="003C4A78"/>
    <w:rsid w:val="003C4ADA"/>
    <w:rsid w:val="003C50B7"/>
    <w:rsid w:val="003C6C7E"/>
    <w:rsid w:val="003D2037"/>
    <w:rsid w:val="003D22B1"/>
    <w:rsid w:val="003D2D80"/>
    <w:rsid w:val="003D4084"/>
    <w:rsid w:val="003D41A4"/>
    <w:rsid w:val="003D47F5"/>
    <w:rsid w:val="003D54DF"/>
    <w:rsid w:val="003D5DC4"/>
    <w:rsid w:val="003D7486"/>
    <w:rsid w:val="003E0CC6"/>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695A"/>
    <w:rsid w:val="00400122"/>
    <w:rsid w:val="00400660"/>
    <w:rsid w:val="0040116D"/>
    <w:rsid w:val="00402263"/>
    <w:rsid w:val="00402A1B"/>
    <w:rsid w:val="004038D0"/>
    <w:rsid w:val="00404A2F"/>
    <w:rsid w:val="00406894"/>
    <w:rsid w:val="00410201"/>
    <w:rsid w:val="00410A15"/>
    <w:rsid w:val="00411053"/>
    <w:rsid w:val="00420632"/>
    <w:rsid w:val="0042188C"/>
    <w:rsid w:val="004221F2"/>
    <w:rsid w:val="004226BB"/>
    <w:rsid w:val="00427613"/>
    <w:rsid w:val="004277B1"/>
    <w:rsid w:val="004311BD"/>
    <w:rsid w:val="00432A1D"/>
    <w:rsid w:val="00433832"/>
    <w:rsid w:val="00434610"/>
    <w:rsid w:val="00434E38"/>
    <w:rsid w:val="0043533D"/>
    <w:rsid w:val="00435AAA"/>
    <w:rsid w:val="004366EC"/>
    <w:rsid w:val="00437D5A"/>
    <w:rsid w:val="00440B8A"/>
    <w:rsid w:val="0044237A"/>
    <w:rsid w:val="0044269E"/>
    <w:rsid w:val="004426A0"/>
    <w:rsid w:val="00442BF7"/>
    <w:rsid w:val="00442E74"/>
    <w:rsid w:val="00443A3A"/>
    <w:rsid w:val="00444C11"/>
    <w:rsid w:val="004465E7"/>
    <w:rsid w:val="0044668A"/>
    <w:rsid w:val="0045021D"/>
    <w:rsid w:val="0045043D"/>
    <w:rsid w:val="004507D0"/>
    <w:rsid w:val="0045121B"/>
    <w:rsid w:val="00451748"/>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3A4C"/>
    <w:rsid w:val="0046474A"/>
    <w:rsid w:val="00466F6A"/>
    <w:rsid w:val="0046740F"/>
    <w:rsid w:val="00470195"/>
    <w:rsid w:val="0047048E"/>
    <w:rsid w:val="00470F4E"/>
    <w:rsid w:val="00471D6D"/>
    <w:rsid w:val="00472DBE"/>
    <w:rsid w:val="0047366C"/>
    <w:rsid w:val="00473EA0"/>
    <w:rsid w:val="0047496A"/>
    <w:rsid w:val="00474F19"/>
    <w:rsid w:val="0047676B"/>
    <w:rsid w:val="004808D9"/>
    <w:rsid w:val="004817D7"/>
    <w:rsid w:val="00483336"/>
    <w:rsid w:val="004833BE"/>
    <w:rsid w:val="0048343A"/>
    <w:rsid w:val="004841DB"/>
    <w:rsid w:val="0048448A"/>
    <w:rsid w:val="00484900"/>
    <w:rsid w:val="00485065"/>
    <w:rsid w:val="00485E08"/>
    <w:rsid w:val="00486B51"/>
    <w:rsid w:val="00486FEC"/>
    <w:rsid w:val="00487DF0"/>
    <w:rsid w:val="0049062E"/>
    <w:rsid w:val="0049173D"/>
    <w:rsid w:val="00492EBD"/>
    <w:rsid w:val="004942F1"/>
    <w:rsid w:val="0049477F"/>
    <w:rsid w:val="0049681E"/>
    <w:rsid w:val="00496B93"/>
    <w:rsid w:val="0049769A"/>
    <w:rsid w:val="004978B2"/>
    <w:rsid w:val="00497CBC"/>
    <w:rsid w:val="004A0817"/>
    <w:rsid w:val="004A12DD"/>
    <w:rsid w:val="004A202A"/>
    <w:rsid w:val="004A2063"/>
    <w:rsid w:val="004A21FF"/>
    <w:rsid w:val="004A2B4A"/>
    <w:rsid w:val="004A3E86"/>
    <w:rsid w:val="004A511B"/>
    <w:rsid w:val="004A68DC"/>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3BF5"/>
    <w:rsid w:val="004C4B23"/>
    <w:rsid w:val="004C4D92"/>
    <w:rsid w:val="004C5F55"/>
    <w:rsid w:val="004C5F89"/>
    <w:rsid w:val="004D1403"/>
    <w:rsid w:val="004D19BE"/>
    <w:rsid w:val="004D1BA4"/>
    <w:rsid w:val="004D238B"/>
    <w:rsid w:val="004D27BF"/>
    <w:rsid w:val="004D366F"/>
    <w:rsid w:val="004D4D04"/>
    <w:rsid w:val="004E0829"/>
    <w:rsid w:val="004E08B4"/>
    <w:rsid w:val="004E2569"/>
    <w:rsid w:val="004E2F33"/>
    <w:rsid w:val="004E3AE3"/>
    <w:rsid w:val="004E3AF4"/>
    <w:rsid w:val="004E4D46"/>
    <w:rsid w:val="004E5557"/>
    <w:rsid w:val="004E5659"/>
    <w:rsid w:val="004E75AC"/>
    <w:rsid w:val="004E7DB2"/>
    <w:rsid w:val="004F0663"/>
    <w:rsid w:val="004F0B52"/>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634D"/>
    <w:rsid w:val="00517D25"/>
    <w:rsid w:val="00517F3D"/>
    <w:rsid w:val="00520EE0"/>
    <w:rsid w:val="0052107E"/>
    <w:rsid w:val="0052166B"/>
    <w:rsid w:val="00521986"/>
    <w:rsid w:val="00521D2B"/>
    <w:rsid w:val="00522106"/>
    <w:rsid w:val="0052256E"/>
    <w:rsid w:val="00522D08"/>
    <w:rsid w:val="00523912"/>
    <w:rsid w:val="00524B83"/>
    <w:rsid w:val="00525B98"/>
    <w:rsid w:val="00525F53"/>
    <w:rsid w:val="00526E79"/>
    <w:rsid w:val="00527329"/>
    <w:rsid w:val="00527A31"/>
    <w:rsid w:val="00527DC4"/>
    <w:rsid w:val="00527E62"/>
    <w:rsid w:val="00531810"/>
    <w:rsid w:val="00531AE0"/>
    <w:rsid w:val="00531DF1"/>
    <w:rsid w:val="00531E64"/>
    <w:rsid w:val="00532006"/>
    <w:rsid w:val="00532BBD"/>
    <w:rsid w:val="00537E50"/>
    <w:rsid w:val="00541FC8"/>
    <w:rsid w:val="005434D0"/>
    <w:rsid w:val="00543B00"/>
    <w:rsid w:val="00543D57"/>
    <w:rsid w:val="00544FEB"/>
    <w:rsid w:val="00546886"/>
    <w:rsid w:val="00550782"/>
    <w:rsid w:val="005513A0"/>
    <w:rsid w:val="0055181C"/>
    <w:rsid w:val="00551F16"/>
    <w:rsid w:val="00552334"/>
    <w:rsid w:val="00552D70"/>
    <w:rsid w:val="00553305"/>
    <w:rsid w:val="00554D30"/>
    <w:rsid w:val="00555B25"/>
    <w:rsid w:val="00555F74"/>
    <w:rsid w:val="0055685D"/>
    <w:rsid w:val="0055776D"/>
    <w:rsid w:val="005619B8"/>
    <w:rsid w:val="005624FD"/>
    <w:rsid w:val="0056270F"/>
    <w:rsid w:val="00563958"/>
    <w:rsid w:val="00565945"/>
    <w:rsid w:val="00565BA3"/>
    <w:rsid w:val="00565E19"/>
    <w:rsid w:val="00571EFE"/>
    <w:rsid w:val="00572AF4"/>
    <w:rsid w:val="00572EAB"/>
    <w:rsid w:val="005800EC"/>
    <w:rsid w:val="0058097A"/>
    <w:rsid w:val="00581057"/>
    <w:rsid w:val="00581990"/>
    <w:rsid w:val="00581DFC"/>
    <w:rsid w:val="005820B1"/>
    <w:rsid w:val="00582829"/>
    <w:rsid w:val="0058391F"/>
    <w:rsid w:val="00583B43"/>
    <w:rsid w:val="00584C6C"/>
    <w:rsid w:val="00585034"/>
    <w:rsid w:val="00585264"/>
    <w:rsid w:val="00586098"/>
    <w:rsid w:val="005870BB"/>
    <w:rsid w:val="00587F2F"/>
    <w:rsid w:val="00590021"/>
    <w:rsid w:val="005918BB"/>
    <w:rsid w:val="00591B52"/>
    <w:rsid w:val="00592F5B"/>
    <w:rsid w:val="0059329C"/>
    <w:rsid w:val="005950ED"/>
    <w:rsid w:val="00596E4B"/>
    <w:rsid w:val="00597D7E"/>
    <w:rsid w:val="005A07CF"/>
    <w:rsid w:val="005A0C17"/>
    <w:rsid w:val="005A17BB"/>
    <w:rsid w:val="005A2BC1"/>
    <w:rsid w:val="005A2FA9"/>
    <w:rsid w:val="005A3A01"/>
    <w:rsid w:val="005A3C1F"/>
    <w:rsid w:val="005A4B82"/>
    <w:rsid w:val="005A4E5E"/>
    <w:rsid w:val="005A5595"/>
    <w:rsid w:val="005A5636"/>
    <w:rsid w:val="005A5770"/>
    <w:rsid w:val="005A6BE2"/>
    <w:rsid w:val="005B2446"/>
    <w:rsid w:val="005B2746"/>
    <w:rsid w:val="005B2AF2"/>
    <w:rsid w:val="005B372C"/>
    <w:rsid w:val="005B454C"/>
    <w:rsid w:val="005B4F10"/>
    <w:rsid w:val="005B5005"/>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4EFF"/>
    <w:rsid w:val="005C5EF3"/>
    <w:rsid w:val="005C63AC"/>
    <w:rsid w:val="005D0BD0"/>
    <w:rsid w:val="005D0CF1"/>
    <w:rsid w:val="005D124F"/>
    <w:rsid w:val="005D16CA"/>
    <w:rsid w:val="005D297F"/>
    <w:rsid w:val="005D37EF"/>
    <w:rsid w:val="005D3BAC"/>
    <w:rsid w:val="005D3D38"/>
    <w:rsid w:val="005D55AB"/>
    <w:rsid w:val="005D622A"/>
    <w:rsid w:val="005D66FB"/>
    <w:rsid w:val="005D6A8D"/>
    <w:rsid w:val="005D6FF0"/>
    <w:rsid w:val="005E111E"/>
    <w:rsid w:val="005E1A8C"/>
    <w:rsid w:val="005E3773"/>
    <w:rsid w:val="005E3BD3"/>
    <w:rsid w:val="005E4B76"/>
    <w:rsid w:val="005E4BD1"/>
    <w:rsid w:val="005E4FD5"/>
    <w:rsid w:val="005E55E1"/>
    <w:rsid w:val="005E6085"/>
    <w:rsid w:val="005F0164"/>
    <w:rsid w:val="005F040C"/>
    <w:rsid w:val="005F0946"/>
    <w:rsid w:val="005F1371"/>
    <w:rsid w:val="005F2933"/>
    <w:rsid w:val="005F34FB"/>
    <w:rsid w:val="005F3922"/>
    <w:rsid w:val="005F41F0"/>
    <w:rsid w:val="005F4E42"/>
    <w:rsid w:val="005F52FE"/>
    <w:rsid w:val="005F5D7E"/>
    <w:rsid w:val="005F61EB"/>
    <w:rsid w:val="005F740B"/>
    <w:rsid w:val="00600E3B"/>
    <w:rsid w:val="00601085"/>
    <w:rsid w:val="00603BAB"/>
    <w:rsid w:val="00603BF0"/>
    <w:rsid w:val="00604F35"/>
    <w:rsid w:val="0060588B"/>
    <w:rsid w:val="006063E6"/>
    <w:rsid w:val="0061041D"/>
    <w:rsid w:val="0061236B"/>
    <w:rsid w:val="00613D08"/>
    <w:rsid w:val="006140C9"/>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26FE4"/>
    <w:rsid w:val="006308B6"/>
    <w:rsid w:val="00630956"/>
    <w:rsid w:val="0063294D"/>
    <w:rsid w:val="00632F33"/>
    <w:rsid w:val="00633CAC"/>
    <w:rsid w:val="00633E45"/>
    <w:rsid w:val="00634DA7"/>
    <w:rsid w:val="00640E9F"/>
    <w:rsid w:val="0064105F"/>
    <w:rsid w:val="00641FD6"/>
    <w:rsid w:val="006429DF"/>
    <w:rsid w:val="00644354"/>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344"/>
    <w:rsid w:val="00655DB4"/>
    <w:rsid w:val="00656617"/>
    <w:rsid w:val="00657EE0"/>
    <w:rsid w:val="0066004D"/>
    <w:rsid w:val="006622D9"/>
    <w:rsid w:val="006640A2"/>
    <w:rsid w:val="006645C7"/>
    <w:rsid w:val="00664AFE"/>
    <w:rsid w:val="00664FF0"/>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8D8"/>
    <w:rsid w:val="00690260"/>
    <w:rsid w:val="0069085B"/>
    <w:rsid w:val="006908C9"/>
    <w:rsid w:val="006908D2"/>
    <w:rsid w:val="006912DE"/>
    <w:rsid w:val="00691E99"/>
    <w:rsid w:val="00692698"/>
    <w:rsid w:val="006931D3"/>
    <w:rsid w:val="0069387C"/>
    <w:rsid w:val="00693A96"/>
    <w:rsid w:val="00693E98"/>
    <w:rsid w:val="00694961"/>
    <w:rsid w:val="00695C22"/>
    <w:rsid w:val="00697852"/>
    <w:rsid w:val="00697F8D"/>
    <w:rsid w:val="006A0389"/>
    <w:rsid w:val="006A1BAD"/>
    <w:rsid w:val="006A2A95"/>
    <w:rsid w:val="006A3032"/>
    <w:rsid w:val="006A4307"/>
    <w:rsid w:val="006A4967"/>
    <w:rsid w:val="006A4A5F"/>
    <w:rsid w:val="006A6695"/>
    <w:rsid w:val="006A6962"/>
    <w:rsid w:val="006A7426"/>
    <w:rsid w:val="006B0634"/>
    <w:rsid w:val="006B0741"/>
    <w:rsid w:val="006B0F12"/>
    <w:rsid w:val="006B13A0"/>
    <w:rsid w:val="006B291D"/>
    <w:rsid w:val="006B2E29"/>
    <w:rsid w:val="006B4473"/>
    <w:rsid w:val="006B509A"/>
    <w:rsid w:val="006B74CD"/>
    <w:rsid w:val="006C0012"/>
    <w:rsid w:val="006C17D4"/>
    <w:rsid w:val="006C278C"/>
    <w:rsid w:val="006C3381"/>
    <w:rsid w:val="006C3DE0"/>
    <w:rsid w:val="006C4078"/>
    <w:rsid w:val="006C7ED5"/>
    <w:rsid w:val="006D1687"/>
    <w:rsid w:val="006D33EA"/>
    <w:rsid w:val="006D3B75"/>
    <w:rsid w:val="006D5305"/>
    <w:rsid w:val="006D6015"/>
    <w:rsid w:val="006D6465"/>
    <w:rsid w:val="006D723E"/>
    <w:rsid w:val="006D7B16"/>
    <w:rsid w:val="006E027D"/>
    <w:rsid w:val="006E050D"/>
    <w:rsid w:val="006E1162"/>
    <w:rsid w:val="006E1D48"/>
    <w:rsid w:val="006E224F"/>
    <w:rsid w:val="006E270C"/>
    <w:rsid w:val="006E3C13"/>
    <w:rsid w:val="006E51EA"/>
    <w:rsid w:val="006E5DEA"/>
    <w:rsid w:val="006E6655"/>
    <w:rsid w:val="006E67F1"/>
    <w:rsid w:val="006E7A40"/>
    <w:rsid w:val="006F2146"/>
    <w:rsid w:val="006F2AEC"/>
    <w:rsid w:val="006F2CF2"/>
    <w:rsid w:val="006F327F"/>
    <w:rsid w:val="006F3F3C"/>
    <w:rsid w:val="006F51AA"/>
    <w:rsid w:val="006F75C9"/>
    <w:rsid w:val="00700A4B"/>
    <w:rsid w:val="00701855"/>
    <w:rsid w:val="00702B56"/>
    <w:rsid w:val="0070339D"/>
    <w:rsid w:val="0070483C"/>
    <w:rsid w:val="00704FC6"/>
    <w:rsid w:val="00705100"/>
    <w:rsid w:val="007064E5"/>
    <w:rsid w:val="00706A64"/>
    <w:rsid w:val="0070705C"/>
    <w:rsid w:val="007075E7"/>
    <w:rsid w:val="00707AC2"/>
    <w:rsid w:val="00707D21"/>
    <w:rsid w:val="0071150C"/>
    <w:rsid w:val="007122CE"/>
    <w:rsid w:val="00714096"/>
    <w:rsid w:val="00714963"/>
    <w:rsid w:val="00715EFA"/>
    <w:rsid w:val="007161F2"/>
    <w:rsid w:val="00717233"/>
    <w:rsid w:val="00717D46"/>
    <w:rsid w:val="00722F04"/>
    <w:rsid w:val="00724973"/>
    <w:rsid w:val="00724C0A"/>
    <w:rsid w:val="00724EA0"/>
    <w:rsid w:val="00726EE9"/>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5075"/>
    <w:rsid w:val="0074520D"/>
    <w:rsid w:val="0074572E"/>
    <w:rsid w:val="00745869"/>
    <w:rsid w:val="007465D3"/>
    <w:rsid w:val="00750AF9"/>
    <w:rsid w:val="007516E8"/>
    <w:rsid w:val="00751F63"/>
    <w:rsid w:val="00753419"/>
    <w:rsid w:val="007548BE"/>
    <w:rsid w:val="00755767"/>
    <w:rsid w:val="00755A7A"/>
    <w:rsid w:val="0075623E"/>
    <w:rsid w:val="00756A08"/>
    <w:rsid w:val="00756E73"/>
    <w:rsid w:val="0075785A"/>
    <w:rsid w:val="00760DA1"/>
    <w:rsid w:val="00760DC9"/>
    <w:rsid w:val="0076183B"/>
    <w:rsid w:val="00761F0F"/>
    <w:rsid w:val="007623E4"/>
    <w:rsid w:val="00762B4D"/>
    <w:rsid w:val="00763A35"/>
    <w:rsid w:val="0076455A"/>
    <w:rsid w:val="00764DD5"/>
    <w:rsid w:val="007662FC"/>
    <w:rsid w:val="00766DEB"/>
    <w:rsid w:val="007674BB"/>
    <w:rsid w:val="007678E6"/>
    <w:rsid w:val="00767F4E"/>
    <w:rsid w:val="00770461"/>
    <w:rsid w:val="007714AC"/>
    <w:rsid w:val="00771D39"/>
    <w:rsid w:val="00772A10"/>
    <w:rsid w:val="007734B3"/>
    <w:rsid w:val="00773A40"/>
    <w:rsid w:val="00774503"/>
    <w:rsid w:val="00775305"/>
    <w:rsid w:val="0077570A"/>
    <w:rsid w:val="0077571E"/>
    <w:rsid w:val="0077620B"/>
    <w:rsid w:val="00776534"/>
    <w:rsid w:val="007772FE"/>
    <w:rsid w:val="007774D3"/>
    <w:rsid w:val="007823CA"/>
    <w:rsid w:val="00782491"/>
    <w:rsid w:val="00782EC8"/>
    <w:rsid w:val="00783C95"/>
    <w:rsid w:val="00785F4C"/>
    <w:rsid w:val="007870F8"/>
    <w:rsid w:val="00790094"/>
    <w:rsid w:val="007901F7"/>
    <w:rsid w:val="00790EFF"/>
    <w:rsid w:val="00791A2A"/>
    <w:rsid w:val="00791C28"/>
    <w:rsid w:val="00792E30"/>
    <w:rsid w:val="007943B7"/>
    <w:rsid w:val="00794431"/>
    <w:rsid w:val="0079455F"/>
    <w:rsid w:val="0079490A"/>
    <w:rsid w:val="00794D4D"/>
    <w:rsid w:val="0079578B"/>
    <w:rsid w:val="00795842"/>
    <w:rsid w:val="00795D00"/>
    <w:rsid w:val="00796F20"/>
    <w:rsid w:val="00796F98"/>
    <w:rsid w:val="0079726E"/>
    <w:rsid w:val="00797CEB"/>
    <w:rsid w:val="007A1707"/>
    <w:rsid w:val="007A1F5E"/>
    <w:rsid w:val="007A44B9"/>
    <w:rsid w:val="007A57EF"/>
    <w:rsid w:val="007B0809"/>
    <w:rsid w:val="007B0B44"/>
    <w:rsid w:val="007B107C"/>
    <w:rsid w:val="007B11DC"/>
    <w:rsid w:val="007B22A2"/>
    <w:rsid w:val="007B419C"/>
    <w:rsid w:val="007B4346"/>
    <w:rsid w:val="007B492B"/>
    <w:rsid w:val="007B5C68"/>
    <w:rsid w:val="007B5E89"/>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E03A1"/>
    <w:rsid w:val="007E3569"/>
    <w:rsid w:val="007E3F0E"/>
    <w:rsid w:val="007E4F0C"/>
    <w:rsid w:val="007E4F6E"/>
    <w:rsid w:val="007E5724"/>
    <w:rsid w:val="007E5949"/>
    <w:rsid w:val="007E5A12"/>
    <w:rsid w:val="007E5A5C"/>
    <w:rsid w:val="007E6926"/>
    <w:rsid w:val="007E69E6"/>
    <w:rsid w:val="007E787A"/>
    <w:rsid w:val="007F0892"/>
    <w:rsid w:val="007F1741"/>
    <w:rsid w:val="007F3C0C"/>
    <w:rsid w:val="007F3FDF"/>
    <w:rsid w:val="007F49D4"/>
    <w:rsid w:val="007F5456"/>
    <w:rsid w:val="007F63E2"/>
    <w:rsid w:val="007F7B36"/>
    <w:rsid w:val="007F7D19"/>
    <w:rsid w:val="008002D5"/>
    <w:rsid w:val="008014E8"/>
    <w:rsid w:val="00802214"/>
    <w:rsid w:val="00802879"/>
    <w:rsid w:val="00803451"/>
    <w:rsid w:val="008064D0"/>
    <w:rsid w:val="00806D5D"/>
    <w:rsid w:val="00807B1F"/>
    <w:rsid w:val="00810453"/>
    <w:rsid w:val="00811626"/>
    <w:rsid w:val="008152B7"/>
    <w:rsid w:val="008161DE"/>
    <w:rsid w:val="00816C11"/>
    <w:rsid w:val="00817125"/>
    <w:rsid w:val="008171F1"/>
    <w:rsid w:val="00817D1F"/>
    <w:rsid w:val="008202D8"/>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68"/>
    <w:rsid w:val="00847C11"/>
    <w:rsid w:val="00847C99"/>
    <w:rsid w:val="00851912"/>
    <w:rsid w:val="008521A5"/>
    <w:rsid w:val="00852C5D"/>
    <w:rsid w:val="00852C75"/>
    <w:rsid w:val="00854310"/>
    <w:rsid w:val="00857965"/>
    <w:rsid w:val="008610DE"/>
    <w:rsid w:val="0086131D"/>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40D7"/>
    <w:rsid w:val="00874649"/>
    <w:rsid w:val="00874A3E"/>
    <w:rsid w:val="00875215"/>
    <w:rsid w:val="008773FE"/>
    <w:rsid w:val="00877752"/>
    <w:rsid w:val="00881D2C"/>
    <w:rsid w:val="00881D71"/>
    <w:rsid w:val="00884239"/>
    <w:rsid w:val="00884249"/>
    <w:rsid w:val="00885A97"/>
    <w:rsid w:val="0088638C"/>
    <w:rsid w:val="00886459"/>
    <w:rsid w:val="00887678"/>
    <w:rsid w:val="0089137E"/>
    <w:rsid w:val="00892191"/>
    <w:rsid w:val="00893CF6"/>
    <w:rsid w:val="008940E9"/>
    <w:rsid w:val="0089480E"/>
    <w:rsid w:val="008969C7"/>
    <w:rsid w:val="00896A2F"/>
    <w:rsid w:val="00896D5A"/>
    <w:rsid w:val="00897981"/>
    <w:rsid w:val="008A05D6"/>
    <w:rsid w:val="008A0B38"/>
    <w:rsid w:val="008A1887"/>
    <w:rsid w:val="008A20B5"/>
    <w:rsid w:val="008A26EC"/>
    <w:rsid w:val="008A48EB"/>
    <w:rsid w:val="008A4DAD"/>
    <w:rsid w:val="008A5D2C"/>
    <w:rsid w:val="008A5EE5"/>
    <w:rsid w:val="008A6291"/>
    <w:rsid w:val="008A7041"/>
    <w:rsid w:val="008A7191"/>
    <w:rsid w:val="008B2424"/>
    <w:rsid w:val="008B2E9C"/>
    <w:rsid w:val="008B3679"/>
    <w:rsid w:val="008B368F"/>
    <w:rsid w:val="008B39AE"/>
    <w:rsid w:val="008B720C"/>
    <w:rsid w:val="008B7E3B"/>
    <w:rsid w:val="008C0247"/>
    <w:rsid w:val="008C03E9"/>
    <w:rsid w:val="008C062B"/>
    <w:rsid w:val="008C090F"/>
    <w:rsid w:val="008C1FD9"/>
    <w:rsid w:val="008C252E"/>
    <w:rsid w:val="008C2E91"/>
    <w:rsid w:val="008C30B2"/>
    <w:rsid w:val="008C320A"/>
    <w:rsid w:val="008C4513"/>
    <w:rsid w:val="008C55ED"/>
    <w:rsid w:val="008C580D"/>
    <w:rsid w:val="008C63DE"/>
    <w:rsid w:val="008C6CB6"/>
    <w:rsid w:val="008C6F9F"/>
    <w:rsid w:val="008C70FF"/>
    <w:rsid w:val="008C7B1B"/>
    <w:rsid w:val="008D0F5C"/>
    <w:rsid w:val="008D11BD"/>
    <w:rsid w:val="008D1391"/>
    <w:rsid w:val="008D46B1"/>
    <w:rsid w:val="008D572B"/>
    <w:rsid w:val="008D5B2B"/>
    <w:rsid w:val="008D6007"/>
    <w:rsid w:val="008D61F3"/>
    <w:rsid w:val="008E1D29"/>
    <w:rsid w:val="008E39CA"/>
    <w:rsid w:val="008E3E44"/>
    <w:rsid w:val="008E4129"/>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FBD"/>
    <w:rsid w:val="00904C69"/>
    <w:rsid w:val="00904F07"/>
    <w:rsid w:val="009051F2"/>
    <w:rsid w:val="00906895"/>
    <w:rsid w:val="00907146"/>
    <w:rsid w:val="0090760F"/>
    <w:rsid w:val="00910EA2"/>
    <w:rsid w:val="009114BA"/>
    <w:rsid w:val="00911BF9"/>
    <w:rsid w:val="009124C0"/>
    <w:rsid w:val="00912E64"/>
    <w:rsid w:val="00914337"/>
    <w:rsid w:val="0091441B"/>
    <w:rsid w:val="00914A7E"/>
    <w:rsid w:val="00924655"/>
    <w:rsid w:val="00924C40"/>
    <w:rsid w:val="00924F11"/>
    <w:rsid w:val="00925CAC"/>
    <w:rsid w:val="00927032"/>
    <w:rsid w:val="009273C5"/>
    <w:rsid w:val="00930A51"/>
    <w:rsid w:val="00930E6C"/>
    <w:rsid w:val="00931BC5"/>
    <w:rsid w:val="00932226"/>
    <w:rsid w:val="00933CD2"/>
    <w:rsid w:val="00933D77"/>
    <w:rsid w:val="00934CBA"/>
    <w:rsid w:val="00935672"/>
    <w:rsid w:val="00935C19"/>
    <w:rsid w:val="009362AD"/>
    <w:rsid w:val="00936BA2"/>
    <w:rsid w:val="00937405"/>
    <w:rsid w:val="00937D5D"/>
    <w:rsid w:val="00940C0F"/>
    <w:rsid w:val="00942E9D"/>
    <w:rsid w:val="009432A1"/>
    <w:rsid w:val="00943F78"/>
    <w:rsid w:val="009445B2"/>
    <w:rsid w:val="009447F7"/>
    <w:rsid w:val="00944E6E"/>
    <w:rsid w:val="00945855"/>
    <w:rsid w:val="00945EB3"/>
    <w:rsid w:val="00946B6C"/>
    <w:rsid w:val="009479FC"/>
    <w:rsid w:val="00947C83"/>
    <w:rsid w:val="00951364"/>
    <w:rsid w:val="00951B8B"/>
    <w:rsid w:val="00952C32"/>
    <w:rsid w:val="009535FC"/>
    <w:rsid w:val="009537D8"/>
    <w:rsid w:val="00953C42"/>
    <w:rsid w:val="00954097"/>
    <w:rsid w:val="00954213"/>
    <w:rsid w:val="009550DE"/>
    <w:rsid w:val="0096045E"/>
    <w:rsid w:val="00961399"/>
    <w:rsid w:val="00962CAD"/>
    <w:rsid w:val="0096437B"/>
    <w:rsid w:val="009651BB"/>
    <w:rsid w:val="00965B92"/>
    <w:rsid w:val="00966865"/>
    <w:rsid w:val="009671D8"/>
    <w:rsid w:val="009673F9"/>
    <w:rsid w:val="0097403B"/>
    <w:rsid w:val="0097499B"/>
    <w:rsid w:val="00975353"/>
    <w:rsid w:val="00975E92"/>
    <w:rsid w:val="0097650A"/>
    <w:rsid w:val="009778FA"/>
    <w:rsid w:val="009806E4"/>
    <w:rsid w:val="00980EEC"/>
    <w:rsid w:val="009848C9"/>
    <w:rsid w:val="00984E93"/>
    <w:rsid w:val="009852E7"/>
    <w:rsid w:val="00986852"/>
    <w:rsid w:val="009869F7"/>
    <w:rsid w:val="00987BC1"/>
    <w:rsid w:val="00987E18"/>
    <w:rsid w:val="00992D05"/>
    <w:rsid w:val="00992D5F"/>
    <w:rsid w:val="0099377B"/>
    <w:rsid w:val="009941DF"/>
    <w:rsid w:val="00995160"/>
    <w:rsid w:val="00995D60"/>
    <w:rsid w:val="0099636A"/>
    <w:rsid w:val="009A0A21"/>
    <w:rsid w:val="009A0AF1"/>
    <w:rsid w:val="009A0DE7"/>
    <w:rsid w:val="009A153A"/>
    <w:rsid w:val="009A17AF"/>
    <w:rsid w:val="009A1E24"/>
    <w:rsid w:val="009A3251"/>
    <w:rsid w:val="009A3337"/>
    <w:rsid w:val="009A3D07"/>
    <w:rsid w:val="009A4016"/>
    <w:rsid w:val="009A7B28"/>
    <w:rsid w:val="009B06DC"/>
    <w:rsid w:val="009B19A9"/>
    <w:rsid w:val="009B2759"/>
    <w:rsid w:val="009B39CC"/>
    <w:rsid w:val="009B3B0E"/>
    <w:rsid w:val="009B4384"/>
    <w:rsid w:val="009B4C31"/>
    <w:rsid w:val="009B6D33"/>
    <w:rsid w:val="009B7C53"/>
    <w:rsid w:val="009C0053"/>
    <w:rsid w:val="009C261A"/>
    <w:rsid w:val="009C3794"/>
    <w:rsid w:val="009C3A6F"/>
    <w:rsid w:val="009C4D6B"/>
    <w:rsid w:val="009C6038"/>
    <w:rsid w:val="009C6A1E"/>
    <w:rsid w:val="009C73CB"/>
    <w:rsid w:val="009C74E7"/>
    <w:rsid w:val="009C7C88"/>
    <w:rsid w:val="009D002E"/>
    <w:rsid w:val="009D066F"/>
    <w:rsid w:val="009D10AC"/>
    <w:rsid w:val="009D3729"/>
    <w:rsid w:val="009D3740"/>
    <w:rsid w:val="009D3C38"/>
    <w:rsid w:val="009D3F1A"/>
    <w:rsid w:val="009D4E23"/>
    <w:rsid w:val="009D5131"/>
    <w:rsid w:val="009D5471"/>
    <w:rsid w:val="009D5D1B"/>
    <w:rsid w:val="009D60D6"/>
    <w:rsid w:val="009D6A15"/>
    <w:rsid w:val="009D7C79"/>
    <w:rsid w:val="009E0C50"/>
    <w:rsid w:val="009E113B"/>
    <w:rsid w:val="009E13A6"/>
    <w:rsid w:val="009E2A37"/>
    <w:rsid w:val="009E3340"/>
    <w:rsid w:val="009E3F23"/>
    <w:rsid w:val="009E5EB7"/>
    <w:rsid w:val="009E612B"/>
    <w:rsid w:val="009E7DAE"/>
    <w:rsid w:val="009F0178"/>
    <w:rsid w:val="009F098C"/>
    <w:rsid w:val="009F0B7F"/>
    <w:rsid w:val="009F0C99"/>
    <w:rsid w:val="009F13BE"/>
    <w:rsid w:val="009F330C"/>
    <w:rsid w:val="009F4ABD"/>
    <w:rsid w:val="009F76CE"/>
    <w:rsid w:val="009F7A52"/>
    <w:rsid w:val="00A00CF6"/>
    <w:rsid w:val="00A00E17"/>
    <w:rsid w:val="00A00E90"/>
    <w:rsid w:val="00A014A3"/>
    <w:rsid w:val="00A01890"/>
    <w:rsid w:val="00A019DC"/>
    <w:rsid w:val="00A01FE0"/>
    <w:rsid w:val="00A026A1"/>
    <w:rsid w:val="00A03906"/>
    <w:rsid w:val="00A046F4"/>
    <w:rsid w:val="00A04846"/>
    <w:rsid w:val="00A0535C"/>
    <w:rsid w:val="00A07CFB"/>
    <w:rsid w:val="00A10439"/>
    <w:rsid w:val="00A1075F"/>
    <w:rsid w:val="00A119E4"/>
    <w:rsid w:val="00A12A29"/>
    <w:rsid w:val="00A13AB9"/>
    <w:rsid w:val="00A13B85"/>
    <w:rsid w:val="00A14ACE"/>
    <w:rsid w:val="00A16DE0"/>
    <w:rsid w:val="00A20BA2"/>
    <w:rsid w:val="00A20C7B"/>
    <w:rsid w:val="00A20E50"/>
    <w:rsid w:val="00A2181C"/>
    <w:rsid w:val="00A23A56"/>
    <w:rsid w:val="00A24874"/>
    <w:rsid w:val="00A24DED"/>
    <w:rsid w:val="00A25093"/>
    <w:rsid w:val="00A26702"/>
    <w:rsid w:val="00A27786"/>
    <w:rsid w:val="00A3069D"/>
    <w:rsid w:val="00A32A7C"/>
    <w:rsid w:val="00A35CEA"/>
    <w:rsid w:val="00A40C78"/>
    <w:rsid w:val="00A42700"/>
    <w:rsid w:val="00A430AC"/>
    <w:rsid w:val="00A43EF2"/>
    <w:rsid w:val="00A44681"/>
    <w:rsid w:val="00A44C91"/>
    <w:rsid w:val="00A46C87"/>
    <w:rsid w:val="00A46FE8"/>
    <w:rsid w:val="00A47908"/>
    <w:rsid w:val="00A47D7A"/>
    <w:rsid w:val="00A507BD"/>
    <w:rsid w:val="00A513AE"/>
    <w:rsid w:val="00A51E99"/>
    <w:rsid w:val="00A52355"/>
    <w:rsid w:val="00A53D12"/>
    <w:rsid w:val="00A547F9"/>
    <w:rsid w:val="00A56E8B"/>
    <w:rsid w:val="00A60D89"/>
    <w:rsid w:val="00A60DAC"/>
    <w:rsid w:val="00A61651"/>
    <w:rsid w:val="00A631FC"/>
    <w:rsid w:val="00A6502C"/>
    <w:rsid w:val="00A658E0"/>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276E"/>
    <w:rsid w:val="00A92C7D"/>
    <w:rsid w:val="00A9338D"/>
    <w:rsid w:val="00A93502"/>
    <w:rsid w:val="00A9442C"/>
    <w:rsid w:val="00A95990"/>
    <w:rsid w:val="00A96FFC"/>
    <w:rsid w:val="00AA03C9"/>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C0124"/>
    <w:rsid w:val="00AC0544"/>
    <w:rsid w:val="00AC0B0C"/>
    <w:rsid w:val="00AC103D"/>
    <w:rsid w:val="00AC37FB"/>
    <w:rsid w:val="00AC3DCC"/>
    <w:rsid w:val="00AC4060"/>
    <w:rsid w:val="00AC467F"/>
    <w:rsid w:val="00AD0766"/>
    <w:rsid w:val="00AD0D5F"/>
    <w:rsid w:val="00AD20F7"/>
    <w:rsid w:val="00AD3ABD"/>
    <w:rsid w:val="00AD52ED"/>
    <w:rsid w:val="00AD6007"/>
    <w:rsid w:val="00AD780C"/>
    <w:rsid w:val="00AD78AC"/>
    <w:rsid w:val="00AE13C9"/>
    <w:rsid w:val="00AE1793"/>
    <w:rsid w:val="00AE210F"/>
    <w:rsid w:val="00AE237F"/>
    <w:rsid w:val="00AE25F2"/>
    <w:rsid w:val="00AE2CCB"/>
    <w:rsid w:val="00AE2EBA"/>
    <w:rsid w:val="00AE3869"/>
    <w:rsid w:val="00AE4FE5"/>
    <w:rsid w:val="00AE5895"/>
    <w:rsid w:val="00AE59DC"/>
    <w:rsid w:val="00AE5B2D"/>
    <w:rsid w:val="00AE5C04"/>
    <w:rsid w:val="00AE63BF"/>
    <w:rsid w:val="00AE71FB"/>
    <w:rsid w:val="00AF02D4"/>
    <w:rsid w:val="00AF043B"/>
    <w:rsid w:val="00AF1CCE"/>
    <w:rsid w:val="00AF3B3C"/>
    <w:rsid w:val="00AF52CB"/>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48"/>
    <w:rsid w:val="00B129BF"/>
    <w:rsid w:val="00B14857"/>
    <w:rsid w:val="00B151FD"/>
    <w:rsid w:val="00B154A6"/>
    <w:rsid w:val="00B15B68"/>
    <w:rsid w:val="00B165FD"/>
    <w:rsid w:val="00B20BCE"/>
    <w:rsid w:val="00B20E7C"/>
    <w:rsid w:val="00B20F94"/>
    <w:rsid w:val="00B2176A"/>
    <w:rsid w:val="00B21A9A"/>
    <w:rsid w:val="00B22311"/>
    <w:rsid w:val="00B230B1"/>
    <w:rsid w:val="00B25DF9"/>
    <w:rsid w:val="00B26411"/>
    <w:rsid w:val="00B26C78"/>
    <w:rsid w:val="00B31681"/>
    <w:rsid w:val="00B31A6C"/>
    <w:rsid w:val="00B32C7C"/>
    <w:rsid w:val="00B33452"/>
    <w:rsid w:val="00B338CD"/>
    <w:rsid w:val="00B35280"/>
    <w:rsid w:val="00B35A25"/>
    <w:rsid w:val="00B36410"/>
    <w:rsid w:val="00B36A07"/>
    <w:rsid w:val="00B36C9C"/>
    <w:rsid w:val="00B36CFD"/>
    <w:rsid w:val="00B406ED"/>
    <w:rsid w:val="00B431A5"/>
    <w:rsid w:val="00B43EF9"/>
    <w:rsid w:val="00B445A3"/>
    <w:rsid w:val="00B45C2D"/>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E2C"/>
    <w:rsid w:val="00B92C71"/>
    <w:rsid w:val="00B92DF0"/>
    <w:rsid w:val="00B93068"/>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4DC2"/>
    <w:rsid w:val="00BA5148"/>
    <w:rsid w:val="00BA58D4"/>
    <w:rsid w:val="00BA5A13"/>
    <w:rsid w:val="00BA5B34"/>
    <w:rsid w:val="00BA5FCB"/>
    <w:rsid w:val="00BA659B"/>
    <w:rsid w:val="00BA6A5A"/>
    <w:rsid w:val="00BA6FDE"/>
    <w:rsid w:val="00BB03A5"/>
    <w:rsid w:val="00BB0468"/>
    <w:rsid w:val="00BB0871"/>
    <w:rsid w:val="00BB13CC"/>
    <w:rsid w:val="00BB2C03"/>
    <w:rsid w:val="00BB3D95"/>
    <w:rsid w:val="00BB4BF1"/>
    <w:rsid w:val="00BB59B4"/>
    <w:rsid w:val="00BB66B6"/>
    <w:rsid w:val="00BB7D99"/>
    <w:rsid w:val="00BC01DB"/>
    <w:rsid w:val="00BC02E0"/>
    <w:rsid w:val="00BC0881"/>
    <w:rsid w:val="00BC0ADD"/>
    <w:rsid w:val="00BC134E"/>
    <w:rsid w:val="00BC1C7F"/>
    <w:rsid w:val="00BC1D17"/>
    <w:rsid w:val="00BC2812"/>
    <w:rsid w:val="00BC2A1B"/>
    <w:rsid w:val="00BC47D7"/>
    <w:rsid w:val="00BC5F63"/>
    <w:rsid w:val="00BC5F8F"/>
    <w:rsid w:val="00BC691C"/>
    <w:rsid w:val="00BC75DE"/>
    <w:rsid w:val="00BC78A6"/>
    <w:rsid w:val="00BD1200"/>
    <w:rsid w:val="00BD1677"/>
    <w:rsid w:val="00BD1FAB"/>
    <w:rsid w:val="00BD2B6C"/>
    <w:rsid w:val="00BD307B"/>
    <w:rsid w:val="00BD35A9"/>
    <w:rsid w:val="00BD52BA"/>
    <w:rsid w:val="00BD531B"/>
    <w:rsid w:val="00BD6198"/>
    <w:rsid w:val="00BD6864"/>
    <w:rsid w:val="00BD6D31"/>
    <w:rsid w:val="00BD7370"/>
    <w:rsid w:val="00BE0B47"/>
    <w:rsid w:val="00BE1EC9"/>
    <w:rsid w:val="00BE2BE0"/>
    <w:rsid w:val="00BE3091"/>
    <w:rsid w:val="00BE35E8"/>
    <w:rsid w:val="00BE36AD"/>
    <w:rsid w:val="00BE3746"/>
    <w:rsid w:val="00BE6930"/>
    <w:rsid w:val="00BF08D7"/>
    <w:rsid w:val="00BF234D"/>
    <w:rsid w:val="00BF4AC7"/>
    <w:rsid w:val="00BF4BAD"/>
    <w:rsid w:val="00BF50A0"/>
    <w:rsid w:val="00BF6B1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1BA3"/>
    <w:rsid w:val="00C12244"/>
    <w:rsid w:val="00C12AF2"/>
    <w:rsid w:val="00C15002"/>
    <w:rsid w:val="00C15369"/>
    <w:rsid w:val="00C16285"/>
    <w:rsid w:val="00C17344"/>
    <w:rsid w:val="00C179D5"/>
    <w:rsid w:val="00C17A3F"/>
    <w:rsid w:val="00C20096"/>
    <w:rsid w:val="00C206EE"/>
    <w:rsid w:val="00C209B5"/>
    <w:rsid w:val="00C21560"/>
    <w:rsid w:val="00C226C8"/>
    <w:rsid w:val="00C2308A"/>
    <w:rsid w:val="00C23278"/>
    <w:rsid w:val="00C24896"/>
    <w:rsid w:val="00C251EC"/>
    <w:rsid w:val="00C255CD"/>
    <w:rsid w:val="00C25777"/>
    <w:rsid w:val="00C25E92"/>
    <w:rsid w:val="00C26A96"/>
    <w:rsid w:val="00C27274"/>
    <w:rsid w:val="00C27564"/>
    <w:rsid w:val="00C31E7B"/>
    <w:rsid w:val="00C32CAF"/>
    <w:rsid w:val="00C334A5"/>
    <w:rsid w:val="00C33E2F"/>
    <w:rsid w:val="00C343D3"/>
    <w:rsid w:val="00C34456"/>
    <w:rsid w:val="00C34EB7"/>
    <w:rsid w:val="00C35823"/>
    <w:rsid w:val="00C35D72"/>
    <w:rsid w:val="00C35D7E"/>
    <w:rsid w:val="00C3638E"/>
    <w:rsid w:val="00C365AB"/>
    <w:rsid w:val="00C36DB9"/>
    <w:rsid w:val="00C376AA"/>
    <w:rsid w:val="00C377CD"/>
    <w:rsid w:val="00C402AC"/>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579E"/>
    <w:rsid w:val="00C566B8"/>
    <w:rsid w:val="00C56B81"/>
    <w:rsid w:val="00C5772F"/>
    <w:rsid w:val="00C57B8C"/>
    <w:rsid w:val="00C605F1"/>
    <w:rsid w:val="00C60D7C"/>
    <w:rsid w:val="00C60DC1"/>
    <w:rsid w:val="00C61A25"/>
    <w:rsid w:val="00C61FD6"/>
    <w:rsid w:val="00C629D8"/>
    <w:rsid w:val="00C64CFB"/>
    <w:rsid w:val="00C6705C"/>
    <w:rsid w:val="00C672E4"/>
    <w:rsid w:val="00C67944"/>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76E7E"/>
    <w:rsid w:val="00C81327"/>
    <w:rsid w:val="00C8133E"/>
    <w:rsid w:val="00C81A10"/>
    <w:rsid w:val="00C81E57"/>
    <w:rsid w:val="00C82B35"/>
    <w:rsid w:val="00C82DE6"/>
    <w:rsid w:val="00C84422"/>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D28"/>
    <w:rsid w:val="00CA2652"/>
    <w:rsid w:val="00CA40AA"/>
    <w:rsid w:val="00CA40FA"/>
    <w:rsid w:val="00CA5088"/>
    <w:rsid w:val="00CA62CD"/>
    <w:rsid w:val="00CA65CD"/>
    <w:rsid w:val="00CA7B6E"/>
    <w:rsid w:val="00CA7C9F"/>
    <w:rsid w:val="00CB17BC"/>
    <w:rsid w:val="00CB1C5B"/>
    <w:rsid w:val="00CB23A3"/>
    <w:rsid w:val="00CB24F1"/>
    <w:rsid w:val="00CB388E"/>
    <w:rsid w:val="00CB51F8"/>
    <w:rsid w:val="00CB5C6F"/>
    <w:rsid w:val="00CB5EC2"/>
    <w:rsid w:val="00CB6EFD"/>
    <w:rsid w:val="00CB7248"/>
    <w:rsid w:val="00CB7833"/>
    <w:rsid w:val="00CB7FCE"/>
    <w:rsid w:val="00CC2691"/>
    <w:rsid w:val="00CC2F63"/>
    <w:rsid w:val="00CC50AB"/>
    <w:rsid w:val="00CC5F6B"/>
    <w:rsid w:val="00CC711A"/>
    <w:rsid w:val="00CC79A8"/>
    <w:rsid w:val="00CC7DC9"/>
    <w:rsid w:val="00CD1009"/>
    <w:rsid w:val="00CD1EB7"/>
    <w:rsid w:val="00CD24B7"/>
    <w:rsid w:val="00CD3418"/>
    <w:rsid w:val="00CD53E0"/>
    <w:rsid w:val="00CD64F8"/>
    <w:rsid w:val="00CD67F2"/>
    <w:rsid w:val="00CD6871"/>
    <w:rsid w:val="00CE09EE"/>
    <w:rsid w:val="00CE2001"/>
    <w:rsid w:val="00CE23A7"/>
    <w:rsid w:val="00CE2A7D"/>
    <w:rsid w:val="00CE3A24"/>
    <w:rsid w:val="00CE3E26"/>
    <w:rsid w:val="00CE5300"/>
    <w:rsid w:val="00CE7978"/>
    <w:rsid w:val="00CE7E49"/>
    <w:rsid w:val="00CF3A4C"/>
    <w:rsid w:val="00CF4AE4"/>
    <w:rsid w:val="00CF66AE"/>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07014"/>
    <w:rsid w:val="00D103B4"/>
    <w:rsid w:val="00D105DF"/>
    <w:rsid w:val="00D11465"/>
    <w:rsid w:val="00D12151"/>
    <w:rsid w:val="00D122E8"/>
    <w:rsid w:val="00D124FC"/>
    <w:rsid w:val="00D12CDA"/>
    <w:rsid w:val="00D13A6B"/>
    <w:rsid w:val="00D14143"/>
    <w:rsid w:val="00D14A96"/>
    <w:rsid w:val="00D157C2"/>
    <w:rsid w:val="00D167AB"/>
    <w:rsid w:val="00D16EE3"/>
    <w:rsid w:val="00D17D13"/>
    <w:rsid w:val="00D205EA"/>
    <w:rsid w:val="00D20F1B"/>
    <w:rsid w:val="00D220C7"/>
    <w:rsid w:val="00D2268D"/>
    <w:rsid w:val="00D2288F"/>
    <w:rsid w:val="00D23867"/>
    <w:rsid w:val="00D23B59"/>
    <w:rsid w:val="00D249AE"/>
    <w:rsid w:val="00D26183"/>
    <w:rsid w:val="00D2667A"/>
    <w:rsid w:val="00D26B07"/>
    <w:rsid w:val="00D271D6"/>
    <w:rsid w:val="00D30F6A"/>
    <w:rsid w:val="00D33446"/>
    <w:rsid w:val="00D34BC3"/>
    <w:rsid w:val="00D351DB"/>
    <w:rsid w:val="00D35C65"/>
    <w:rsid w:val="00D35DA8"/>
    <w:rsid w:val="00D36255"/>
    <w:rsid w:val="00D366FF"/>
    <w:rsid w:val="00D3673D"/>
    <w:rsid w:val="00D36840"/>
    <w:rsid w:val="00D40175"/>
    <w:rsid w:val="00D40CB5"/>
    <w:rsid w:val="00D42357"/>
    <w:rsid w:val="00D42683"/>
    <w:rsid w:val="00D445EE"/>
    <w:rsid w:val="00D44E23"/>
    <w:rsid w:val="00D44ECA"/>
    <w:rsid w:val="00D459C9"/>
    <w:rsid w:val="00D4625A"/>
    <w:rsid w:val="00D462B5"/>
    <w:rsid w:val="00D463CE"/>
    <w:rsid w:val="00D465E3"/>
    <w:rsid w:val="00D467B3"/>
    <w:rsid w:val="00D4750E"/>
    <w:rsid w:val="00D502C5"/>
    <w:rsid w:val="00D50B14"/>
    <w:rsid w:val="00D513AA"/>
    <w:rsid w:val="00D518E6"/>
    <w:rsid w:val="00D51CB6"/>
    <w:rsid w:val="00D51D07"/>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F78"/>
    <w:rsid w:val="00D650D9"/>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688"/>
    <w:rsid w:val="00D80815"/>
    <w:rsid w:val="00D818B5"/>
    <w:rsid w:val="00D82373"/>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2028"/>
    <w:rsid w:val="00DA295A"/>
    <w:rsid w:val="00DA34A9"/>
    <w:rsid w:val="00DA39C1"/>
    <w:rsid w:val="00DA3D83"/>
    <w:rsid w:val="00DA56AD"/>
    <w:rsid w:val="00DA5A1A"/>
    <w:rsid w:val="00DA7955"/>
    <w:rsid w:val="00DB282E"/>
    <w:rsid w:val="00DB283C"/>
    <w:rsid w:val="00DB2AF6"/>
    <w:rsid w:val="00DB3165"/>
    <w:rsid w:val="00DB4C7A"/>
    <w:rsid w:val="00DB5B23"/>
    <w:rsid w:val="00DB669A"/>
    <w:rsid w:val="00DB7184"/>
    <w:rsid w:val="00DB74FF"/>
    <w:rsid w:val="00DC21F9"/>
    <w:rsid w:val="00DC3BF4"/>
    <w:rsid w:val="00DC4692"/>
    <w:rsid w:val="00DC542C"/>
    <w:rsid w:val="00DC6193"/>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20C"/>
    <w:rsid w:val="00DD58AF"/>
    <w:rsid w:val="00DD78BC"/>
    <w:rsid w:val="00DD7AD1"/>
    <w:rsid w:val="00DD7D78"/>
    <w:rsid w:val="00DE0118"/>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D7F"/>
    <w:rsid w:val="00DE5FF9"/>
    <w:rsid w:val="00DE6901"/>
    <w:rsid w:val="00DE787C"/>
    <w:rsid w:val="00DE7F40"/>
    <w:rsid w:val="00DF035D"/>
    <w:rsid w:val="00DF0A35"/>
    <w:rsid w:val="00DF0F0D"/>
    <w:rsid w:val="00DF167B"/>
    <w:rsid w:val="00DF207C"/>
    <w:rsid w:val="00DF3A91"/>
    <w:rsid w:val="00DF47C3"/>
    <w:rsid w:val="00DF7373"/>
    <w:rsid w:val="00E013A4"/>
    <w:rsid w:val="00E02253"/>
    <w:rsid w:val="00E0264C"/>
    <w:rsid w:val="00E0301C"/>
    <w:rsid w:val="00E03C01"/>
    <w:rsid w:val="00E04250"/>
    <w:rsid w:val="00E07742"/>
    <w:rsid w:val="00E07950"/>
    <w:rsid w:val="00E12034"/>
    <w:rsid w:val="00E13CC7"/>
    <w:rsid w:val="00E1565E"/>
    <w:rsid w:val="00E16ADA"/>
    <w:rsid w:val="00E16EE5"/>
    <w:rsid w:val="00E176BE"/>
    <w:rsid w:val="00E21BC4"/>
    <w:rsid w:val="00E233C9"/>
    <w:rsid w:val="00E233FC"/>
    <w:rsid w:val="00E23AA8"/>
    <w:rsid w:val="00E244B7"/>
    <w:rsid w:val="00E24842"/>
    <w:rsid w:val="00E2551A"/>
    <w:rsid w:val="00E257F8"/>
    <w:rsid w:val="00E25DBA"/>
    <w:rsid w:val="00E25F35"/>
    <w:rsid w:val="00E266D2"/>
    <w:rsid w:val="00E26A7C"/>
    <w:rsid w:val="00E27D14"/>
    <w:rsid w:val="00E313E3"/>
    <w:rsid w:val="00E32821"/>
    <w:rsid w:val="00E336ED"/>
    <w:rsid w:val="00E33AB9"/>
    <w:rsid w:val="00E341A2"/>
    <w:rsid w:val="00E35B8D"/>
    <w:rsid w:val="00E36956"/>
    <w:rsid w:val="00E3786C"/>
    <w:rsid w:val="00E37DFA"/>
    <w:rsid w:val="00E401C4"/>
    <w:rsid w:val="00E42228"/>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2BD"/>
    <w:rsid w:val="00E54633"/>
    <w:rsid w:val="00E54E5C"/>
    <w:rsid w:val="00E5601C"/>
    <w:rsid w:val="00E561B8"/>
    <w:rsid w:val="00E561EE"/>
    <w:rsid w:val="00E56450"/>
    <w:rsid w:val="00E564CA"/>
    <w:rsid w:val="00E567A3"/>
    <w:rsid w:val="00E575C6"/>
    <w:rsid w:val="00E60463"/>
    <w:rsid w:val="00E60809"/>
    <w:rsid w:val="00E60D56"/>
    <w:rsid w:val="00E60D91"/>
    <w:rsid w:val="00E6118F"/>
    <w:rsid w:val="00E619D8"/>
    <w:rsid w:val="00E62DA2"/>
    <w:rsid w:val="00E6363A"/>
    <w:rsid w:val="00E63A8B"/>
    <w:rsid w:val="00E6435C"/>
    <w:rsid w:val="00E64ADB"/>
    <w:rsid w:val="00E65F23"/>
    <w:rsid w:val="00E6695C"/>
    <w:rsid w:val="00E66D85"/>
    <w:rsid w:val="00E706D9"/>
    <w:rsid w:val="00E72322"/>
    <w:rsid w:val="00E724D9"/>
    <w:rsid w:val="00E726F3"/>
    <w:rsid w:val="00E736F0"/>
    <w:rsid w:val="00E73B60"/>
    <w:rsid w:val="00E744D6"/>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10A0"/>
    <w:rsid w:val="00E91E88"/>
    <w:rsid w:val="00E92188"/>
    <w:rsid w:val="00E927DF"/>
    <w:rsid w:val="00E934A4"/>
    <w:rsid w:val="00E93856"/>
    <w:rsid w:val="00E9395C"/>
    <w:rsid w:val="00E93C75"/>
    <w:rsid w:val="00E942A4"/>
    <w:rsid w:val="00E97466"/>
    <w:rsid w:val="00EA15EB"/>
    <w:rsid w:val="00EA190A"/>
    <w:rsid w:val="00EA2189"/>
    <w:rsid w:val="00EA2A9B"/>
    <w:rsid w:val="00EA355B"/>
    <w:rsid w:val="00EA3B8D"/>
    <w:rsid w:val="00EA488D"/>
    <w:rsid w:val="00EA5235"/>
    <w:rsid w:val="00EA6005"/>
    <w:rsid w:val="00EA64D7"/>
    <w:rsid w:val="00EA6FF4"/>
    <w:rsid w:val="00EB135C"/>
    <w:rsid w:val="00EB2484"/>
    <w:rsid w:val="00EB2B9C"/>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F017E8"/>
    <w:rsid w:val="00F027E5"/>
    <w:rsid w:val="00F02A34"/>
    <w:rsid w:val="00F036D7"/>
    <w:rsid w:val="00F0524A"/>
    <w:rsid w:val="00F06BEC"/>
    <w:rsid w:val="00F076EF"/>
    <w:rsid w:val="00F119DD"/>
    <w:rsid w:val="00F12607"/>
    <w:rsid w:val="00F12D23"/>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D98"/>
    <w:rsid w:val="00F2731A"/>
    <w:rsid w:val="00F276C2"/>
    <w:rsid w:val="00F278AB"/>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2AE1"/>
    <w:rsid w:val="00F532C6"/>
    <w:rsid w:val="00F53AC1"/>
    <w:rsid w:val="00F55232"/>
    <w:rsid w:val="00F55C75"/>
    <w:rsid w:val="00F55E4C"/>
    <w:rsid w:val="00F56251"/>
    <w:rsid w:val="00F578DE"/>
    <w:rsid w:val="00F60636"/>
    <w:rsid w:val="00F60787"/>
    <w:rsid w:val="00F61B43"/>
    <w:rsid w:val="00F61CA1"/>
    <w:rsid w:val="00F61DEF"/>
    <w:rsid w:val="00F63B63"/>
    <w:rsid w:val="00F650EE"/>
    <w:rsid w:val="00F656CA"/>
    <w:rsid w:val="00F66832"/>
    <w:rsid w:val="00F67357"/>
    <w:rsid w:val="00F67671"/>
    <w:rsid w:val="00F71372"/>
    <w:rsid w:val="00F71E9C"/>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669"/>
    <w:rsid w:val="00F9584B"/>
    <w:rsid w:val="00F95A02"/>
    <w:rsid w:val="00F97123"/>
    <w:rsid w:val="00F9749E"/>
    <w:rsid w:val="00F97A75"/>
    <w:rsid w:val="00FA33AB"/>
    <w:rsid w:val="00FA3D8E"/>
    <w:rsid w:val="00FA41C9"/>
    <w:rsid w:val="00FA455B"/>
    <w:rsid w:val="00FA6061"/>
    <w:rsid w:val="00FA708F"/>
    <w:rsid w:val="00FA7592"/>
    <w:rsid w:val="00FA75F9"/>
    <w:rsid w:val="00FB0312"/>
    <w:rsid w:val="00FB0BA3"/>
    <w:rsid w:val="00FB1B40"/>
    <w:rsid w:val="00FB1E04"/>
    <w:rsid w:val="00FB201C"/>
    <w:rsid w:val="00FB22FE"/>
    <w:rsid w:val="00FB288D"/>
    <w:rsid w:val="00FB33BE"/>
    <w:rsid w:val="00FB34D9"/>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6414"/>
    <w:rsid w:val="00FC6EE9"/>
    <w:rsid w:val="00FC7EC1"/>
    <w:rsid w:val="00FD0A30"/>
    <w:rsid w:val="00FD104E"/>
    <w:rsid w:val="00FD1FB2"/>
    <w:rsid w:val="00FD23A6"/>
    <w:rsid w:val="00FD3424"/>
    <w:rsid w:val="00FD37DA"/>
    <w:rsid w:val="00FD3ED3"/>
    <w:rsid w:val="00FD5B39"/>
    <w:rsid w:val="00FD5D1D"/>
    <w:rsid w:val="00FD5E06"/>
    <w:rsid w:val="00FE22F8"/>
    <w:rsid w:val="00FE23CF"/>
    <w:rsid w:val="00FE2FE7"/>
    <w:rsid w:val="00FE3E55"/>
    <w:rsid w:val="00FE605D"/>
    <w:rsid w:val="00FE6C00"/>
    <w:rsid w:val="00FE72D5"/>
    <w:rsid w:val="00FF0177"/>
    <w:rsid w:val="00FF06AD"/>
    <w:rsid w:val="00FF096C"/>
    <w:rsid w:val="00FF0DFE"/>
    <w:rsid w:val="00FF136D"/>
    <w:rsid w:val="00FF13B8"/>
    <w:rsid w:val="00FF1D1E"/>
    <w:rsid w:val="00FF2071"/>
    <w:rsid w:val="00FF2888"/>
    <w:rsid w:val="00FF44A7"/>
    <w:rsid w:val="00FF5E59"/>
    <w:rsid w:val="00FF6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1E4B4E"/>
    <w:pPr>
      <w:numPr>
        <w:numId w:val="4"/>
      </w:numPr>
      <w:tabs>
        <w:tab w:val="left" w:pos="1800"/>
      </w:tabs>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E4B4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rsid w:val="009479FC"/>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0734246">
      <w:bodyDiv w:val="1"/>
      <w:marLeft w:val="0"/>
      <w:marRight w:val="0"/>
      <w:marTop w:val="0"/>
      <w:marBottom w:val="0"/>
      <w:divBdr>
        <w:top w:val="none" w:sz="0" w:space="0" w:color="auto"/>
        <w:left w:val="none" w:sz="0" w:space="0" w:color="auto"/>
        <w:bottom w:val="none" w:sz="0" w:space="0" w:color="auto"/>
        <w:right w:val="none" w:sz="0" w:space="0" w:color="auto"/>
      </w:divBdr>
      <w:divsChild>
        <w:div w:id="1727756343">
          <w:marLeft w:val="274"/>
          <w:marRight w:val="0"/>
          <w:marTop w:val="240"/>
          <w:marBottom w:val="0"/>
          <w:divBdr>
            <w:top w:val="none" w:sz="0" w:space="0" w:color="auto"/>
            <w:left w:val="none" w:sz="0" w:space="0" w:color="auto"/>
            <w:bottom w:val="none" w:sz="0" w:space="0" w:color="auto"/>
            <w:right w:val="none" w:sz="0" w:space="0" w:color="auto"/>
          </w:divBdr>
        </w:div>
      </w:divsChild>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5408637">
      <w:bodyDiv w:val="1"/>
      <w:marLeft w:val="0"/>
      <w:marRight w:val="0"/>
      <w:marTop w:val="0"/>
      <w:marBottom w:val="0"/>
      <w:divBdr>
        <w:top w:val="none" w:sz="0" w:space="0" w:color="auto"/>
        <w:left w:val="none" w:sz="0" w:space="0" w:color="auto"/>
        <w:bottom w:val="none" w:sz="0" w:space="0" w:color="auto"/>
        <w:right w:val="none" w:sz="0" w:space="0" w:color="auto"/>
      </w:divBdr>
      <w:divsChild>
        <w:div w:id="71971971">
          <w:marLeft w:val="547"/>
          <w:marRight w:val="0"/>
          <w:marTop w:val="115"/>
          <w:marBottom w:val="0"/>
          <w:divBdr>
            <w:top w:val="none" w:sz="0" w:space="0" w:color="auto"/>
            <w:left w:val="none" w:sz="0" w:space="0" w:color="auto"/>
            <w:bottom w:val="none" w:sz="0" w:space="0" w:color="auto"/>
            <w:right w:val="none" w:sz="0" w:space="0" w:color="auto"/>
          </w:divBdr>
        </w:div>
        <w:div w:id="112871188">
          <w:marLeft w:val="1166"/>
          <w:marRight w:val="0"/>
          <w:marTop w:val="77"/>
          <w:marBottom w:val="0"/>
          <w:divBdr>
            <w:top w:val="none" w:sz="0" w:space="0" w:color="auto"/>
            <w:left w:val="none" w:sz="0" w:space="0" w:color="auto"/>
            <w:bottom w:val="none" w:sz="0" w:space="0" w:color="auto"/>
            <w:right w:val="none" w:sz="0" w:space="0" w:color="auto"/>
          </w:divBdr>
        </w:div>
        <w:div w:id="2039506043">
          <w:marLeft w:val="1166"/>
          <w:marRight w:val="0"/>
          <w:marTop w:val="77"/>
          <w:marBottom w:val="0"/>
          <w:divBdr>
            <w:top w:val="none" w:sz="0" w:space="0" w:color="auto"/>
            <w:left w:val="none" w:sz="0" w:space="0" w:color="auto"/>
            <w:bottom w:val="none" w:sz="0" w:space="0" w:color="auto"/>
            <w:right w:val="none" w:sz="0" w:space="0" w:color="auto"/>
          </w:divBdr>
        </w:div>
        <w:div w:id="209849485">
          <w:marLeft w:val="1800"/>
          <w:marRight w:val="0"/>
          <w:marTop w:val="67"/>
          <w:marBottom w:val="0"/>
          <w:divBdr>
            <w:top w:val="none" w:sz="0" w:space="0" w:color="auto"/>
            <w:left w:val="none" w:sz="0" w:space="0" w:color="auto"/>
            <w:bottom w:val="none" w:sz="0" w:space="0" w:color="auto"/>
            <w:right w:val="none" w:sz="0" w:space="0" w:color="auto"/>
          </w:divBdr>
        </w:div>
        <w:div w:id="259997246">
          <w:marLeft w:val="1800"/>
          <w:marRight w:val="0"/>
          <w:marTop w:val="67"/>
          <w:marBottom w:val="0"/>
          <w:divBdr>
            <w:top w:val="none" w:sz="0" w:space="0" w:color="auto"/>
            <w:left w:val="none" w:sz="0" w:space="0" w:color="auto"/>
            <w:bottom w:val="none" w:sz="0" w:space="0" w:color="auto"/>
            <w:right w:val="none" w:sz="0" w:space="0" w:color="auto"/>
          </w:divBdr>
        </w:div>
        <w:div w:id="519702175">
          <w:marLeft w:val="1800"/>
          <w:marRight w:val="0"/>
          <w:marTop w:val="67"/>
          <w:marBottom w:val="0"/>
          <w:divBdr>
            <w:top w:val="none" w:sz="0" w:space="0" w:color="auto"/>
            <w:left w:val="none" w:sz="0" w:space="0" w:color="auto"/>
            <w:bottom w:val="none" w:sz="0" w:space="0" w:color="auto"/>
            <w:right w:val="none" w:sz="0" w:space="0" w:color="auto"/>
          </w:divBdr>
        </w:div>
        <w:div w:id="1102724779">
          <w:marLeft w:val="1166"/>
          <w:marRight w:val="0"/>
          <w:marTop w:val="77"/>
          <w:marBottom w:val="0"/>
          <w:divBdr>
            <w:top w:val="none" w:sz="0" w:space="0" w:color="auto"/>
            <w:left w:val="none" w:sz="0" w:space="0" w:color="auto"/>
            <w:bottom w:val="none" w:sz="0" w:space="0" w:color="auto"/>
            <w:right w:val="none" w:sz="0" w:space="0" w:color="auto"/>
          </w:divBdr>
        </w:div>
        <w:div w:id="294485678">
          <w:marLeft w:val="1800"/>
          <w:marRight w:val="0"/>
          <w:marTop w:val="67"/>
          <w:marBottom w:val="0"/>
          <w:divBdr>
            <w:top w:val="none" w:sz="0" w:space="0" w:color="auto"/>
            <w:left w:val="none" w:sz="0" w:space="0" w:color="auto"/>
            <w:bottom w:val="none" w:sz="0" w:space="0" w:color="auto"/>
            <w:right w:val="none" w:sz="0" w:space="0" w:color="auto"/>
          </w:divBdr>
        </w:div>
        <w:div w:id="1426223819">
          <w:marLeft w:val="1166"/>
          <w:marRight w:val="0"/>
          <w:marTop w:val="77"/>
          <w:marBottom w:val="0"/>
          <w:divBdr>
            <w:top w:val="none" w:sz="0" w:space="0" w:color="auto"/>
            <w:left w:val="none" w:sz="0" w:space="0" w:color="auto"/>
            <w:bottom w:val="none" w:sz="0" w:space="0" w:color="auto"/>
            <w:right w:val="none" w:sz="0" w:space="0" w:color="auto"/>
          </w:divBdr>
        </w:div>
        <w:div w:id="745566654">
          <w:marLeft w:val="1166"/>
          <w:marRight w:val="0"/>
          <w:marTop w:val="77"/>
          <w:marBottom w:val="0"/>
          <w:divBdr>
            <w:top w:val="none" w:sz="0" w:space="0" w:color="auto"/>
            <w:left w:val="none" w:sz="0" w:space="0" w:color="auto"/>
            <w:bottom w:val="none" w:sz="0" w:space="0" w:color="auto"/>
            <w:right w:val="none" w:sz="0" w:space="0" w:color="auto"/>
          </w:divBdr>
        </w:div>
      </w:divsChild>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2.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6.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7.xml><?xml version="1.0" encoding="utf-8"?>
<ds:datastoreItem xmlns:ds="http://schemas.openxmlformats.org/officeDocument/2006/customXml" ds:itemID="{7DBDFACD-5352-4B24-B224-901352EF2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Umesh Phuyal</cp:lastModifiedBy>
  <cp:revision>47</cp:revision>
  <cp:lastPrinted>2017-09-12T10:53:00Z</cp:lastPrinted>
  <dcterms:created xsi:type="dcterms:W3CDTF">2018-04-04T22:25:00Z</dcterms:created>
  <dcterms:modified xsi:type="dcterms:W3CDTF">2018-04-06T05:59:00Z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-842905922</vt:i4>
  </property>
  <property fmtid="{D5CDD505-2E9C-101B-9397-08002B2CF9AE}" pid="27" name="_EmailSubject">
    <vt:lpwstr>Internal -- FW: [99bis#53][MTC/NB-IoT] EDT indication via PRACH</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ies>
</file>